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خلقي
</w:t>
      </w:r>
    </w:p>
    <w:p>
      <w:pPr>
        <w:jc w:val="start"/>
        <w:bidi/>
      </w:pPr>
      <w:r>
        <w:rPr>
          <w:rFonts w:ascii="arial" w:hAnsi="arial" w:eastAsia="arial" w:cs="arial"/>
          <w:sz w:val="28"/>
          <w:szCs w:val="28"/>
          <w:b w:val="1"/>
          <w:bCs w:val="1"/>
          <w:rtl/>
        </w:rPr>
        <w:t xml:space="preserve">مصطفى خلقي
</w:t>
      </w:r>
    </w:p>
    <w:p>
      <w:pPr/>
      <w:r>
        <w:rPr/>
        <w:t xml:space="preserve">مصطفى خلقي  مصطفى خلقي بن عثمان النورى: شاعر، الباني الاصل، دمشقى المولد والوفاة. تعلم بدمشق وتخرج (ضابطا) في استانبول. ونبغ في الادب التركي. وكف بصره فاقام بدمشق إلى ان توفي. له بالتركية شعر كثير، وبالعربية (ديوان –خ) اطلعني عليه احد انجاله، وفي بعضه لطائف وابتكارات، منه على سبيل المثال: (صبغ الشعر واغرى غادة، وهو لا يحسن تركيب الرحى) (صفعته، وانثنت قائلة: راج سوق الغش حتى في اللحى!) وترجم عن التركية (وظائف الاناث –ط) رسالة ونظم (موشحات) اشتهرت في ايامه، وكان له الملم بالموسيقى. </w:t>
      </w:r>
    </w:p>
    <w:p>
      <w:pPr>
        <w:jc w:val="start"/>
        <w:bidi/>
      </w:pPr>
      <w:r>
        <w:rPr>
          <w:sz w:val="24"/>
          <w:szCs w:val="24"/>
          <w:b w:val="1"/>
          <w:bCs w:val="1"/>
          <w:rtl/>
        </w:rPr>
        <w:t xml:space="preserve">
الأعلام،(دار العلم للملايين - بيروت،2002،ط 15،ج 7،ص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2026-07-27T22:54:49+03:00</dcterms:created>
  <dcterms:modified xsi:type="dcterms:W3CDTF">2026-07-27T22:54:49+03:00</dcterms:modified>
</cp:coreProperties>
</file>

<file path=docProps/custom.xml><?xml version="1.0" encoding="utf-8"?>
<Properties xmlns="http://schemas.openxmlformats.org/officeDocument/2006/custom-properties" xmlns:vt="http://schemas.openxmlformats.org/officeDocument/2006/docPropsVTypes"/>
</file>