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عمر بن محمد بن عمر بن الحسن بن عبد الله
</w:t>
      </w:r>
    </w:p>
    <w:p>
      <w:pPr>
        <w:jc w:val="start"/>
        <w:bidi/>
      </w:pPr>
      <w:r>
        <w:rPr>
          <w:rFonts w:ascii="arial" w:hAnsi="arial" w:eastAsia="arial" w:cs="arial"/>
          <w:sz w:val="28"/>
          <w:szCs w:val="28"/>
          <w:b w:val="1"/>
          <w:bCs w:val="1"/>
          <w:rtl/>
        </w:rPr>
        <w:t xml:space="preserve">محمد بن محمد بن عمر بن محمد بن عمر بن الحسن بن عبد الله
</w:t>
      </w:r>
    </w:p>
    <w:p>
      <w:pPr/>
      <w:r>
        <w:rPr/>
        <w:t xml:space="preserve">محمد بن محمد بن عمر بن محمد بن عمر بن الحسن بن عبد الله محمد بن محمد بن عمر بن محمد بن عمر بن الحسن بن عبد الله بن خواجا إمام الفارسي ثم الدمشقي إمام الدين بن شرف الدين الكاتب ولد سنة 48 وسمع من جده وعم والده والرضي بن البرهان وابن مالك وابن أبي اليسر وغيرهم وخدم في عدة جهات وكان مشكورا معروفا بالكفاءة كثير التلاوة تفقه عند ابن المقدسي وجود الكتابة وأحكم التذهيب وتعلم النجارة والحدادة قال الذهبي كان ذهبه ورقا مات في شعبان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2026-07-28T06:25:11+03:00</dcterms:created>
  <dcterms:modified xsi:type="dcterms:W3CDTF">2026-07-28T06:25:11+03:00</dcterms:modified>
</cp:coreProperties>
</file>

<file path=docProps/custom.xml><?xml version="1.0" encoding="utf-8"?>
<Properties xmlns="http://schemas.openxmlformats.org/officeDocument/2006/custom-properties" xmlns:vt="http://schemas.openxmlformats.org/officeDocument/2006/docPropsVTypes"/>
</file>