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عبد العزيز بن محمد بن أحمد بن هبة الله
</w:t>
      </w:r>
    </w:p>
    <w:p>
      <w:pPr>
        <w:jc w:val="start"/>
        <w:bidi/>
      </w:pPr>
      <w:r>
        <w:rPr>
          <w:rFonts w:ascii="arial" w:hAnsi="arial" w:eastAsia="arial" w:cs="arial"/>
          <w:sz w:val="28"/>
          <w:szCs w:val="28"/>
          <w:b w:val="1"/>
          <w:bCs w:val="1"/>
          <w:rtl/>
        </w:rPr>
        <w:t xml:space="preserve">محمد بن عمر بن عبد العزيز بن محمد بن أحمد بن هبة الله
</w:t>
      </w:r>
    </w:p>
    <w:p>
      <w:pPr/>
      <w:r>
        <w:rPr/>
        <w:t xml:space="preserve">محمد بن عمر بن عبد العزيز بن محمد بن أحمد بن هبة الله محمد بن عمر بن عبد العزيز بن محمد بن أحمد بن هبة الله بن محمد ابن هبة اللهبن أحمد بن يحيى بن زهير بن أبي جراده العقيلي ناصر الدين ابن كمال الدين ابن العديم ولد سنة 689 وسمع من الأبرقوهي وغيره وولي قضاء حماة ثم قضاء حلب وطلب إلى القاهرة عند ما أخرج الحسام الغوري ليستقر في القضاء فلما وصل إلى دمشق وصل المرسوم بعوده إلى حلب على حاله وكان صدرا رئيسا ممدحا وطالت مدته بحلب وليها بضعا وثلاثين سنة ومات في شوال سنة 752 وهو جد كمال الدين عمر بن جمال الدين إبراهيم قاضي الحنفية بالديار المصرية في زماننا قرأت بخط محمد ابن يحيى بن سعد في شيوخ حلب سنة 748 سمع من الأبرقوهي السيرة ومن الحجار البخاري ثم ثلاثيات الدارمي وجزء أبي الجهم والأربعين تخريج ابن البعلي وقال ابن رافع في معجمه سمع من الأبرقوهي السيرة وسمع من جده وعم أبيه وحدث</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2026-07-29T13:18:52+03:00</dcterms:created>
  <dcterms:modified xsi:type="dcterms:W3CDTF">2026-07-29T13:18:52+03:00</dcterms:modified>
</cp:coreProperties>
</file>

<file path=docProps/custom.xml><?xml version="1.0" encoding="utf-8"?>
<Properties xmlns="http://schemas.openxmlformats.org/officeDocument/2006/custom-properties" xmlns:vt="http://schemas.openxmlformats.org/officeDocument/2006/docPropsVTypes"/>
</file>