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الحيمي
</w:t>
      </w:r>
    </w:p>
    <w:p>
      <w:pPr>
        <w:jc w:val="start"/>
        <w:bidi/>
      </w:pPr>
      <w:r>
        <w:rPr>
          <w:rFonts w:ascii="arial" w:hAnsi="arial" w:eastAsia="arial" w:cs="arial"/>
          <w:sz w:val="28"/>
          <w:szCs w:val="28"/>
          <w:b w:val="1"/>
          <w:bCs w:val="1"/>
          <w:rtl/>
        </w:rPr>
        <w:t xml:space="preserve">ابن الحيمي
</w:t>
      </w:r>
    </w:p>
    <w:p>
      <w:pPr/>
      <w:r>
        <w:rPr/>
        <w:t xml:space="preserve">ابن الحيمي  أحمد بن محمد بن الحسن بن أحمد بن صالح الحيمي: أديب مؤرخ، يماني، ينتهي نسبه إلى نشوان بن سعيد الحميري. ولد ونشأ في شبام كوكبان (باليمن) وتوفي بصنعاء. من كتبه (طيب السمر في أوقات السحر) مجلدان ضخمان، في التراجم، و (عطر نسيم الصبا) أدب، و (الأصداف المشحونة باللآلى المكنونة) و (ديوان شعر) ونسبة الحيمي إلى الحيمة (بفتح الحاء وسكون الياء) على مرحلة من صنعاء. </w:t>
      </w:r>
    </w:p>
    <w:p>
      <w:pPr>
        <w:jc w:val="start"/>
        <w:bidi/>
      </w:pPr>
      <w:r>
        <w:rPr>
          <w:sz w:val="24"/>
          <w:szCs w:val="24"/>
          <w:b w:val="1"/>
          <w:bCs w:val="1"/>
          <w:rtl/>
        </w:rPr>
        <w:t xml:space="preserve">
الأعلام،(دار العلم للملايين - بيروت،2002،ط 15،ج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الحسن بن أحمد الحيمي الكوكباني
</w:t>
      </w:r>
    </w:p>
    <w:p>
      <w:pPr/>
      <w:r>
        <w:rPr/>
        <w:t xml:space="preserve">أحمد بن محمد بن الحسن بن أحمد الحيمي الكوكباني </w:t>
      </w:r>
    </w:p>
    <w:p/>
    <w:p>
      <w:pPr/>
      <w:r>
        <w:rPr/>
        <w:t xml:space="preserve">الخطيب البليغ الشاعر نشأ بكوكبان وأخذ العلم عن جماعة من أعيان العلماء ذكرهم في كتابه المسمى طيب السمر وهو كتاب حافل ترجم فيه لجماعة من الأعيان تراجم مسجعة كما هو صنع غالب المؤرخين المتأخرين ومن مصنفاته شرح قصيدة محمد بن عبد الله ابن الإمام شرف الدين سماه الأصداف المشحونة باللئالي المكنونة وهو شرح مفيد طالعته فرايته فائقاً في بابه وله شرح على رسالة الواثق المشهورة سلك فيها مسلك الصفدي في شرح لامية العجم وله مؤلفات أدبية تزيد على الأربعين وهو مجيد في كل ما يصنفه ومن شعره الأبيات التي مطلعها</w:t>
      </w:r>
    </w:p>
    <w:p/>
    <w:p>
      <w:pPr>
        <w:jc w:val="center"/>
      </w:pPr>
      <w:r>
        <w:rPr>
          <w:color w:val="ff0000"/>
        </w:rPr>
        <w:t xml:space="preserve">لعب النسيم بغصن قد أهيف</w:t>
      </w:r>
      <w:r>
        <w:rPr>
          <w:color w:val="ff0000"/>
        </w:rPr>
        <w:t xml:space="preserve">      </w:t>
      </w:r>
      <w:r>
        <w:rPr>
          <w:color w:val="ff0000"/>
        </w:rPr>
        <w:t xml:space="preserve">لابل من داء السقام ولا شفى</w:t>
      </w:r>
    </w:p>
    <w:p/>
    <w:p>
      <w:pPr/>
      <w:r>
        <w:rPr/>
        <w:t xml:space="preserve">ومن شعره</w:t>
      </w:r>
    </w:p>
    <w:p/>
    <w:p>
      <w:pPr>
        <w:jc w:val="center"/>
      </w:pPr>
      <w:r>
        <w:rPr>
          <w:color w:val="ff0000"/>
        </w:rPr>
        <w:t xml:space="preserve">نسيم الروض عن وبل بليل</w:t>
      </w:r>
      <w:r>
        <w:rPr>
          <w:color w:val="ff0000"/>
        </w:rPr>
        <w:t xml:space="preserve">      </w:t>
      </w:r>
      <w:r>
        <w:rPr>
          <w:color w:val="ff0000"/>
        </w:rPr>
        <w:t xml:space="preserve">تنفس لا بسا برد الأصيل</w:t>
      </w:r>
    </w:p>
    <w:p/>
    <w:p>
      <w:pPr>
        <w:jc w:val="center"/>
      </w:pPr>
      <w:r>
        <w:rPr>
          <w:color w:val="ff0000"/>
        </w:rPr>
        <w:t xml:space="preserve">ووافى راويا خبرا صحيحا</w:t>
      </w:r>
      <w:r>
        <w:rPr>
          <w:color w:val="ff0000"/>
        </w:rPr>
        <w:t xml:space="preserve">      </w:t>
      </w:r>
      <w:r>
        <w:rPr>
          <w:color w:val="ff0000"/>
        </w:rPr>
        <w:t xml:space="preserve">من الأنباء عن جسم عليل</w:t>
      </w:r>
    </w:p>
    <w:p/>
    <w:p>
      <w:pPr>
        <w:jc w:val="center"/>
      </w:pPr>
      <w:r>
        <w:rPr>
          <w:color w:val="ff0000"/>
        </w:rPr>
        <w:t xml:space="preserve">لقد سهرت عيوني حين وافا</w:t>
      </w:r>
      <w:r>
        <w:rPr>
          <w:color w:val="ff0000"/>
        </w:rPr>
        <w:t xml:space="preserve">      </w:t>
      </w:r>
      <w:r>
        <w:rPr>
          <w:color w:val="ff0000"/>
        </w:rPr>
        <w:t xml:space="preserve">لذكرى من يعدوا خير جيل</w:t>
      </w:r>
    </w:p>
    <w:p/>
    <w:p>
      <w:pPr>
        <w:jc w:val="center"/>
      </w:pPr>
      <w:r>
        <w:rPr>
          <w:color w:val="ff0000"/>
        </w:rPr>
        <w:t xml:space="preserve">فما اكتحلت بنوم قط إلا</w:t>
      </w:r>
      <w:r>
        <w:rPr>
          <w:color w:val="ff0000"/>
        </w:rPr>
        <w:t xml:space="preserve">      </w:t>
      </w:r>
      <w:r>
        <w:rPr>
          <w:color w:val="ff0000"/>
        </w:rPr>
        <w:t xml:space="preserve">بميل في المسافة بعد ميل</w:t>
      </w:r>
    </w:p>
    <w:p/>
    <w:p>
      <w:pPr/>
      <w:r>
        <w:rPr/>
        <w:t xml:space="preserve">وله نظم كثيرة ونثر واسع وكله في رتبة متوسطة وهو طويل النفس في جميع ما يأتي به توفي سنة 1151 إحدى وخمسين ومائة وألف</w:t>
      </w:r>
    </w:p>
    <w:p>
      <w:pPr>
        <w:jc w:val="start"/>
        <w:bidi/>
      </w:pPr>
      <w:r>
        <w:rPr>
          <w:sz w:val="24"/>
          <w:szCs w:val="24"/>
          <w:b w:val="1"/>
          <w:bCs w:val="1"/>
          <w:rtl/>
        </w:rPr>
        <w:t xml:space="preserve">
البدر الطالع بمحاسن من بعد القرن السابع،(دار المعرفة - بيروت،0،ط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2026-09-19T21:36:35+03:00</dcterms:created>
  <dcterms:modified xsi:type="dcterms:W3CDTF">2026-09-19T21:36:35+03:00</dcterms:modified>
</cp:coreProperties>
</file>

<file path=docProps/custom.xml><?xml version="1.0" encoding="utf-8"?>
<Properties xmlns="http://schemas.openxmlformats.org/officeDocument/2006/custom-properties" xmlns:vt="http://schemas.openxmlformats.org/officeDocument/2006/docPropsVTypes"/>
</file>