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النيسابوري
</w:t>
      </w:r>
    </w:p>
    <w:p>
      <w:pPr>
        <w:jc w:val="start"/>
        <w:bidi/>
      </w:pPr>
      <w:r>
        <w:rPr>
          <w:rFonts w:ascii="arial" w:hAnsi="arial" w:eastAsia="arial" w:cs="arial"/>
          <w:sz w:val="28"/>
          <w:szCs w:val="28"/>
          <w:b w:val="1"/>
          <w:bCs w:val="1"/>
          <w:rtl/>
        </w:rPr>
        <w:t xml:space="preserve">النيسابوري
</w:t>
      </w:r>
    </w:p>
    <w:p>
      <w:pPr/>
      <w:r>
        <w:rPr/>
        <w:t xml:space="preserve">النيسابوري  مسعود بن محمد بن مسعود النيسابوري، أبو المعالي، قطب الدين: فقيه شافعي تعلم بنيسابور ومرو، ودخل دمشق سنة 540هـ ، ثم استقر بها. واتصل بالسلطان صلاح الدين الأيوبي وصنف له (عقيدة) كان السلطان يقرئها أولاده الصغار. وألف كتبا، منها (الهادي) في الفقه، مختصر لم يأت فيه إلا بالقول الذي عليه الفتوى. وتوفي بدمشق. </w:t>
      </w:r>
    </w:p>
    <w:p>
      <w:pPr>
        <w:jc w:val="start"/>
        <w:bidi/>
      </w:pPr>
      <w:r>
        <w:rPr>
          <w:sz w:val="24"/>
          <w:szCs w:val="24"/>
          <w:b w:val="1"/>
          <w:bCs w:val="1"/>
          <w:rtl/>
        </w:rPr>
        <w:t xml:space="preserve">
الأعلام،(دار العلم للملايين - بيروت،2002،ط 15،ج 7،ص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2026-07-29T04:49:56+03:00</dcterms:created>
  <dcterms:modified xsi:type="dcterms:W3CDTF">2026-07-29T04:49:56+03:00</dcterms:modified>
</cp:coreProperties>
</file>

<file path=docProps/custom.xml><?xml version="1.0" encoding="utf-8"?>
<Properties xmlns="http://schemas.openxmlformats.org/officeDocument/2006/custom-properties" xmlns:vt="http://schemas.openxmlformats.org/officeDocument/2006/docPropsVTypes"/>
</file>