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عمر بن محمد الدمشقي المرجاني
</w:t>
      </w:r>
    </w:p>
    <w:p>
      <w:pPr>
        <w:jc w:val="start"/>
        <w:bidi/>
      </w:pPr>
      <w:r>
        <w:rPr>
          <w:rFonts w:ascii="arial" w:hAnsi="arial" w:eastAsia="arial" w:cs="arial"/>
          <w:sz w:val="28"/>
          <w:szCs w:val="28"/>
          <w:b w:val="1"/>
          <w:bCs w:val="1"/>
          <w:rtl/>
        </w:rPr>
        <w:t xml:space="preserve">محمد بن أحمد بن عمر بن محمد الدمشقي المرجاني
</w:t>
      </w:r>
    </w:p>
    <w:p>
      <w:pPr/>
      <w:r>
        <w:rPr/>
        <w:t xml:space="preserve">محمد بن أحمد بن عمر بن محمد الدمشقي المرجاني محمد بن أحمد بن عمر بن محمد الدمشقي المرجاني ولد سنة 690 وسمع من ابن عبد المؤمن والفاروثي وابن عساكر وأجاز له التقي الواسطي وابن القواس وآخرون ونشأ بزي الجندية ثم ترك ذلك ولبس بزي الفقراء وهو الذي عمر الجامع الفوقاني بالمزة وأول من خطب فيه عماد الدين ابن كثير سنة ست وأربعين أثنى عليه ابن رافع والحسينى وغيرهما ومات في ذي القعدة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2026-07-29T23:21:13+03:00</dcterms:created>
  <dcterms:modified xsi:type="dcterms:W3CDTF">2026-07-29T23:21:13+03:00</dcterms:modified>
</cp:coreProperties>
</file>

<file path=docProps/custom.xml><?xml version="1.0" encoding="utf-8"?>
<Properties xmlns="http://schemas.openxmlformats.org/officeDocument/2006/custom-properties" xmlns:vt="http://schemas.openxmlformats.org/officeDocument/2006/docPropsVTypes"/>
</file>