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صفي بن قاسم الغزولي
</w:t>
      </w:r>
    </w:p>
    <w:p>
      <w:pPr>
        <w:jc w:val="start"/>
        <w:bidi/>
      </w:pPr>
      <w:r>
        <w:rPr>
          <w:rFonts w:ascii="arial" w:hAnsi="arial" w:eastAsia="arial" w:cs="arial"/>
          <w:sz w:val="28"/>
          <w:szCs w:val="28"/>
          <w:b w:val="1"/>
          <w:bCs w:val="1"/>
          <w:rtl/>
        </w:rPr>
        <w:t xml:space="preserve">محمد بن أحمد بن صفي بن قاسم الغزولي
</w:t>
      </w:r>
    </w:p>
    <w:p>
      <w:pPr/>
      <w:r>
        <w:rPr/>
        <w:t xml:space="preserve">محمد بن أحمد بن صفي بن قاسم الغزولي محمد بن أحمد بن صفي بن قاسم الغزولي أخو الذي قبله ولد سنة 705 وسمع من أبي العباس الحجار كتاب السنة للالكائي وحدث سمع منه البرهان سبط ابن العجمي وحدث عنه بحلب وقد قرأ عليه بعض الطلبة شيئا من مستخرج الاسماعيلي بإجازته من ابن الصفي المذكور فالتبس عليه بأخيه الذي قبله ولم يدرك الشيخ برهان الدين الذي قبله لأنه مات قبل رحلته إلى القاهرة إلا أن يكون له منه إجازة ولم نقف على ذلك بعد وكات وفاة الشيخ الثاني في سنة 790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2026-07-28T23:07:14+03:00</dcterms:created>
  <dcterms:modified xsi:type="dcterms:W3CDTF">2026-07-28T23:07:14+03:00</dcterms:modified>
</cp:coreProperties>
</file>

<file path=docProps/custom.xml><?xml version="1.0" encoding="utf-8"?>
<Properties xmlns="http://schemas.openxmlformats.org/officeDocument/2006/custom-properties" xmlns:vt="http://schemas.openxmlformats.org/officeDocument/2006/docPropsVTypes"/>
</file>