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مزينة
</w:t>
      </w:r>
    </w:p>
    <w:p>
      <w:pPr>
        <w:jc w:val="start"/>
        <w:bidi/>
      </w:pPr>
      <w:r>
        <w:rPr>
          <w:rFonts w:ascii="arial" w:hAnsi="arial" w:eastAsia="arial" w:cs="arial"/>
          <w:sz w:val="28"/>
          <w:szCs w:val="28"/>
          <w:b w:val="1"/>
          <w:bCs w:val="1"/>
          <w:rtl/>
        </w:rPr>
        <w:t xml:space="preserve">مزينة
</w:t>
      </w:r>
    </w:p>
    <w:p>
      <w:pPr/>
      <w:r>
        <w:rPr/>
        <w:t xml:space="preserve">مزينة  مزينة بنت كلب وبرة: أم جاهلية، تنسب إليها ذرية ابنيها عثمان وأوس ابني عمرو بن أد بن طابخة، من مضر. من نسلها كعب بن زهير بن أبي سلمى المزني وكثيرون. وكان لبني (مزينة) في الجاهلية صنم اسمه (نهم) فكسره الصحابي خزاعي بن عبد نهم. وكانت منازلهم في جبال (رضوى) وما حولها. وسمي (عرام) من منازلهم جبل (قدس) وجبلي (نهب) بقرب المدينة. </w:t>
      </w:r>
    </w:p>
    <w:p>
      <w:pPr>
        <w:jc w:val="start"/>
        <w:bidi/>
      </w:pPr>
      <w:r>
        <w:rPr>
          <w:sz w:val="24"/>
          <w:szCs w:val="24"/>
          <w:b w:val="1"/>
          <w:bCs w:val="1"/>
          <w:rtl/>
        </w:rPr>
        <w:t xml:space="preserve">
الأعلام،(دار العلم للملايين - بيروت،2002،ط 15،ج 7،ص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2026-10-08T03:18:58+03:00</dcterms:created>
  <dcterms:modified xsi:type="dcterms:W3CDTF">2026-10-08T03:18:58+03:00</dcterms:modified>
</cp:coreProperties>
</file>

<file path=docProps/custom.xml><?xml version="1.0" encoding="utf-8"?>
<Properties xmlns="http://schemas.openxmlformats.org/officeDocument/2006/custom-properties" xmlns:vt="http://schemas.openxmlformats.org/officeDocument/2006/docPropsVTypes"/>
</file>