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بن قروينة فخر الدين الوزير القبطى
</w:t>
      </w:r>
    </w:p>
    <w:p>
      <w:pPr>
        <w:jc w:val="start"/>
        <w:bidi/>
      </w:pPr>
      <w:r>
        <w:rPr>
          <w:rFonts w:ascii="arial" w:hAnsi="arial" w:eastAsia="arial" w:cs="arial"/>
          <w:sz w:val="28"/>
          <w:szCs w:val="28"/>
          <w:b w:val="1"/>
          <w:bCs w:val="1"/>
          <w:rtl/>
        </w:rPr>
        <w:t xml:space="preserve">ماجد بن قروينة فخر الدين الوزير القبطى
</w:t>
      </w:r>
    </w:p>
    <w:p>
      <w:pPr/>
      <w:r>
        <w:rPr/>
        <w:t xml:space="preserve">ماجد بن قروينة فخر الدين الوزير القبطى ماجد بن قروينة فخر الدين الوزير القبطى ولي وزارة الشام أولا ثم نقل إلى مصر وأضيف إليه الخاص وكان كاتبا مجيدا عارفا لكنه كان ظالما جماعا للمال كثير الأنفة مستطيلا على الأكابر بجاه يلبغا وقد خلف لما مات بيوت الأموال عامرة بالذهب والفضة والاهراء بالغلال حتى قيل إنه ترك تكفية ثلاث سنين ثم سلم بعد يلبغا لشاد الدواوين فأذاقه أنواع العذاب حتى لف مشاق الكتان على أصابعه وغمرت بالزيت وأوقدت في النار إلى غير ذلك إلى أن هلك في 18 جمادى الآخرة سنة 768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2026-07-28T15:29:37+03:00</dcterms:created>
  <dcterms:modified xsi:type="dcterms:W3CDTF">2026-07-28T15:29:37+03:00</dcterms:modified>
</cp:coreProperties>
</file>

<file path=docProps/custom.xml><?xml version="1.0" encoding="utf-8"?>
<Properties xmlns="http://schemas.openxmlformats.org/officeDocument/2006/custom-properties" xmlns:vt="http://schemas.openxmlformats.org/officeDocument/2006/docPropsVTypes"/>
</file>