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بن عثمان بن أبي القاسم
</w:t>
      </w:r>
    </w:p>
    <w:p>
      <w:pPr>
        <w:jc w:val="start"/>
        <w:bidi/>
      </w:pPr>
      <w:r>
        <w:rPr>
          <w:rFonts w:ascii="arial" w:hAnsi="arial" w:eastAsia="arial" w:cs="arial"/>
          <w:sz w:val="28"/>
          <w:szCs w:val="28"/>
          <w:b w:val="1"/>
          <w:bCs w:val="1"/>
          <w:rtl/>
        </w:rPr>
        <w:t xml:space="preserve">أبو القاسم بن عثمان بن أبي القاسم
</w:t>
      </w:r>
    </w:p>
    <w:p>
      <w:pPr/>
      <w:r>
        <w:rPr/>
        <w:t xml:space="preserve">أبو القاسم بن عثمان بن أبي القاسم أبو القاسم بن عثمان بن أبي القاسم بن محمد بن عثمان بن محمد التميمى البصروى الحنفى صدر الدين أحد الأمراء الفقهاء كان الناصر يحب أخاه نجم الدين الأحل خدمته له لما كان بالكرك فلما مات أعطى أخاه إقطاعا وتدريس المدرسة ببصرى فكان يلبس قباء وعمامة مدورة ثم ألزمه الناصر بلبس الكلوتة بآخرة فترك التدريس لولده ثم ولي نابلس فباشرها بشهامة وأمانة ومهابة مدة سنين وتولى نظر القدس والخليل بآخرة ومات في أواخر سنة 759 أو أول التي بعدها عن نحو الستين وله نظم وسط وحج بالناس في سنة 756 وعمر بركة الرجيع التي هي كالمدد لبركة عطاف فغرم في عمارتها من ماله عشرة آلاف وباشرها في الحر الشديد فكان ذلك سبب موته وأرخ ابن كثير وفاته عن برهان الدين بن جماعة في خامس عشر ذي الحجة سنة 760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2026-07-29T13:18:44+03:00</dcterms:created>
  <dcterms:modified xsi:type="dcterms:W3CDTF">2026-07-29T13:18:44+03:00</dcterms:modified>
</cp:coreProperties>
</file>

<file path=docProps/custom.xml><?xml version="1.0" encoding="utf-8"?>
<Properties xmlns="http://schemas.openxmlformats.org/officeDocument/2006/custom-properties" xmlns:vt="http://schemas.openxmlformats.org/officeDocument/2006/docPropsVTypes"/>
</file>