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مالك
</w:t>
      </w:r>
    </w:p>
    <w:p>
      <w:pPr/>
      <w:r>
        <w:rPr/>
        <w:t xml:space="preserve">مرة بن مالك  مرة بن مالك بن أوس، من الأزد. جد جاهلى. يقال لبنيه ’’ الجعادرة ’’منهم أبوقيس ابن الأسلت (صيفى بن عامر) المتقدمة ترجمته، وهو الذى يقول:</w:t>
      </w:r>
    </w:p>
    <w:p/>
    <w:p>
      <w:pPr>
        <w:jc w:val="center"/>
      </w:pPr>
      <w:r>
        <w:rPr>
          <w:color w:val="ff0000"/>
        </w:rPr>
        <w:t xml:space="preserve">أسعى على جل بى مالك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كل امرئ فى شأنه ساع</w:t>
      </w:r>
    </w:p>
    <w:p/>
    <w:p>
      <w:pPr/>
      <w:r>
        <w:rPr/>
        <w:t xml:space="preserve">وفى القاموس: الجعدر، القصر، والجعادرة بنو مرة بن مالك بن أوس.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2026-10-08T01:23:41+03:00</dcterms:created>
  <dcterms:modified xsi:type="dcterms:W3CDTF">2026-10-08T01:23:41+03:00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