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أبي الفتوح بن سعد بن علي تقي الدين
</w:t>
      </w:r>
    </w:p>
    <w:p>
      <w:pPr>
        <w:jc w:val="start"/>
        <w:bidi/>
      </w:pPr>
      <w:r>
        <w:rPr>
          <w:rFonts w:ascii="arial" w:hAnsi="arial" w:eastAsia="arial" w:cs="arial"/>
          <w:sz w:val="28"/>
          <w:szCs w:val="28"/>
          <w:b w:val="1"/>
          <w:bCs w:val="1"/>
          <w:rtl/>
        </w:rPr>
        <w:t xml:space="preserve">عمر بن أبي الفتوح بن سعد بن علي تقي الدين
</w:t>
      </w:r>
    </w:p>
    <w:p>
      <w:pPr/>
      <w:r>
        <w:rPr/>
        <w:t xml:space="preserve">عمر بن أبي الفتوح بن سعد بن علي تقي الدين عمر بن أبي الفتوح بن سعد بن علي تقي الدين الصحراوي الصالحي نزيل القاهرة ولد سنة 617 وسمع من ابن الزبيدي وابن اللتي وجعفر وحدث وكان يؤدب الأطفال بالقرب من جامع الأزهر ومات في ربيع الآخر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الفتوح بن سعد الصالحي الصحراوي ثم المؤدب
</w:t>
      </w:r>
    </w:p>
    <w:p>
      <w:pPr/>
      <w:r>
        <w:rPr/>
        <w:t xml:space="preserve">عمر بن أبي الفتوح بن سعد الصالحي الصحراوي ثم المؤدب نزيل القاهرة ولد سنة سبع عشرة وست مائة، وسمع من ابن الزبيدي، وابن اللتي، وجعفر، وحدث مرات، توفي في ربيع الآخر سنة إحدى وسبع مائة.</w:t>
      </w:r>
    </w:p>
    <w:p/>
    <w:p>
      <w:pPr/>
      <w:r>
        <w:rPr/>
        <w:t xml:space="preserve">قرأت عليه نسخ أبي الجهم والثلاثيات، مضت الرواية منهما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2026-07-28T06:24:29+03:00</dcterms:created>
  <dcterms:modified xsi:type="dcterms:W3CDTF">2026-07-28T06:24:29+03:00</dcterms:modified>
</cp:coreProperties>
</file>

<file path=docProps/custom.xml><?xml version="1.0" encoding="utf-8"?>
<Properties xmlns="http://schemas.openxmlformats.org/officeDocument/2006/custom-properties" xmlns:vt="http://schemas.openxmlformats.org/officeDocument/2006/docPropsVTypes"/>
</file>