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الياس بن يونس المراغي أبو القاسم
</w:t>
      </w:r>
    </w:p>
    <w:p>
      <w:pPr>
        <w:jc w:val="start"/>
        <w:bidi/>
      </w:pPr>
      <w:r>
        <w:rPr>
          <w:rFonts w:ascii="arial" w:hAnsi="arial" w:eastAsia="arial" w:cs="arial"/>
          <w:sz w:val="28"/>
          <w:szCs w:val="28"/>
          <w:b w:val="1"/>
          <w:bCs w:val="1"/>
          <w:rtl/>
        </w:rPr>
        <w:t xml:space="preserve">عمر بن الياس بن يونس المراغي أبو القاسم
</w:t>
      </w:r>
    </w:p>
    <w:p>
      <w:pPr/>
      <w:r>
        <w:rPr/>
        <w:t xml:space="preserve">عمر بن الياس بن يونس المراغي أبو القاسم عمر بن الياس بن يونس المراغي أبو القاسم الصوفي كمال الدين ولد بأذربيجان سنة 643 وقدم دمشق سنة 729 وهو ابن نيف وثمانين سنة وجاور قبل ذلك بالقدس ثلاثين سنة وأقام قبلها بمصر خمس عشرة سنة قال البدر النابلسي سمع صحيح البخاري على العز الحراني والترمذي على محمد ابن ترجم وسمع على القاضي ناصر الدين البيضاوي المنهاج والغاية القصوى والطوالع ولما كان بدمشق كان يذكر أن الجلال القزويني قرأ عليه قديما ويعتب عليه في عدم إنصافه له قال البدر وأجازني مروياته في سنة 732 بالقدس وقال الذهبي في معجمه كان شيخنا حسنا صالحا خيرا له حظ من الاشتغال قديما وحديثا وقدم الشام سنة نيف وثمانين وستمائة وحكى لنا أنه جالس خواجا نصير الدين الطوسى وحضر دروس العفيف التلمساني فحكى لي أنه قرأ عليه في المواقف للنغزي فجاء موضع يخالف الشرع فحاققته عليه فقال إن كنت تريد تعرف علم القوم فخذ الشرع والكتاب والسنة فلفها واطرحها قال فمقته وانقطعت من ذلك اليوم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2026-07-29T03:13:54+03:00</dcterms:created>
  <dcterms:modified xsi:type="dcterms:W3CDTF">2026-07-29T03:13:54+03:00</dcterms:modified>
</cp:coreProperties>
</file>

<file path=docProps/custom.xml><?xml version="1.0" encoding="utf-8"?>
<Properties xmlns="http://schemas.openxmlformats.org/officeDocument/2006/custom-properties" xmlns:vt="http://schemas.openxmlformats.org/officeDocument/2006/docPropsVTypes"/>
</file>