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إدريس الأنباري ثم البغدادي الحنبلي
</w:t>
      </w:r>
    </w:p>
    <w:p>
      <w:pPr>
        <w:jc w:val="start"/>
        <w:bidi/>
      </w:pPr>
      <w:r>
        <w:rPr>
          <w:rFonts w:ascii="arial" w:hAnsi="arial" w:eastAsia="arial" w:cs="arial"/>
          <w:sz w:val="28"/>
          <w:szCs w:val="28"/>
          <w:b w:val="1"/>
          <w:bCs w:val="1"/>
          <w:rtl/>
        </w:rPr>
        <w:t xml:space="preserve">عمر بن إدريس الأنباري ثم البغدادي الحنبلي
</w:t>
      </w:r>
    </w:p>
    <w:p>
      <w:pPr/>
      <w:r>
        <w:rPr/>
        <w:t xml:space="preserve">عمر بن إدريس الأنباري ثم البغدادي الحنبلي عمر بن إدريس الأنباري ثم البغدادي الحنبلي قرأ على جمال الدين أحمد بن علي البانصري وغيره وتفقه حتى مهر في المذهب وقام في إقامة السنة وقمع المبتدعة وإزالة المنكرات حتى لم يكن ببغداد من يدانيه في ذلك فتعصب عليه جماعة من الرافضة فعاقبوه مدة فصبر ثم استشهد في سنة 765 وتأسف عليه أهل بغداد ورثوه وكان قد حج سنة 763 ذكره ابن رجب في الطبقات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2026-07-29T07:27:24+03:00</dcterms:created>
  <dcterms:modified xsi:type="dcterms:W3CDTF">2026-07-29T07:27:24+03:00</dcterms:modified>
</cp:coreProperties>
</file>

<file path=docProps/custom.xml><?xml version="1.0" encoding="utf-8"?>
<Properties xmlns="http://schemas.openxmlformats.org/officeDocument/2006/custom-properties" xmlns:vt="http://schemas.openxmlformats.org/officeDocument/2006/docPropsVTypes"/>
</file>