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الرحمن بن محمد بن سليمان
</w:t>
      </w:r>
    </w:p>
    <w:p>
      <w:pPr>
        <w:jc w:val="start"/>
        <w:bidi/>
      </w:pPr>
      <w:r>
        <w:rPr>
          <w:rFonts w:ascii="arial" w:hAnsi="arial" w:eastAsia="arial" w:cs="arial"/>
          <w:sz w:val="28"/>
          <w:szCs w:val="28"/>
          <w:b w:val="1"/>
          <w:bCs w:val="1"/>
          <w:rtl/>
        </w:rPr>
        <w:t xml:space="preserve">علي بن عبد الرحمن بن محمد بن سليمان
</w:t>
      </w:r>
    </w:p>
    <w:p>
      <w:pPr/>
      <w:r>
        <w:rPr/>
        <w:t xml:space="preserve">علي بن عبد الرحمن بن محمد بن سليمان علي بن عبد الرحمن بن محمد بن سليمان بن حمزة بن أحمد بن عمر ابن أبي عمر المقدسي علاء الدين بن بهاء الدين بن عز الدين بن القاضي تقي الدين ولد سنة 14 واحضر على جد أبيه وأسمع على يحيى بن سعد وابن الشحنة وجماعة وتفقه وكان نبيها رئيسا جوادا وولي مشيخة دار الحديث النفيسية مات في ثاني عشري شعبان وقيل في شهر رمضان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2026-07-27T19:34:44+03:00</dcterms:created>
  <dcterms:modified xsi:type="dcterms:W3CDTF">2026-07-27T19:34:44+03:00</dcterms:modified>
</cp:coreProperties>
</file>

<file path=docProps/custom.xml><?xml version="1.0" encoding="utf-8"?>
<Properties xmlns="http://schemas.openxmlformats.org/officeDocument/2006/custom-properties" xmlns:vt="http://schemas.openxmlformats.org/officeDocument/2006/docPropsVTypes"/>
</file>