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ميمون بن مدرار
</w:t>
      </w:r>
    </w:p>
    <w:p>
      <w:pPr>
        <w:jc w:val="start"/>
        <w:bidi/>
      </w:pPr>
      <w:r>
        <w:rPr>
          <w:rFonts w:ascii="arial" w:hAnsi="arial" w:eastAsia="arial" w:cs="arial"/>
          <w:sz w:val="28"/>
          <w:szCs w:val="28"/>
          <w:b w:val="1"/>
          <w:bCs w:val="1"/>
          <w:rtl/>
        </w:rPr>
        <w:t xml:space="preserve">أحمد بن ميمون بن مدرار
</w:t>
      </w:r>
    </w:p>
    <w:p>
      <w:pPr/>
      <w:r>
        <w:rPr/>
        <w:t xml:space="preserve">أحمد بن ميمون بن مدرار أحمد بن ميمون بن مدرار: ولى بعد موت أخيه (الفتح) سنة300 واستقام امره إلى أن زحف (مصالة بن حبوس الكتامى) قائد الشيعة العبيدين، فى جموع من كتامة ومكناسة إلى المغرب (سنة 309) فدوخ المغرب وافتتح سجلماسة، وقبض على (احمد ابن ميمون) وقتله، وولى علييها شخصا آخر من بني مدرار، هو الاتي</w:t>
      </w:r>
    </w:p>
    <w:p>
      <w:pPr>
        <w:jc w:val="start"/>
        <w:bidi/>
      </w:pPr>
      <w:r>
        <w:rPr>
          <w:sz w:val="24"/>
          <w:szCs w:val="24"/>
          <w:b w:val="1"/>
          <w:bCs w:val="1"/>
          <w:rtl/>
        </w:rPr>
        <w:t xml:space="preserve">
الأعلام،(دار العلم للملايين - بيروت،2002،ط 15،ج 7،ص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2026-10-07T23:12:07+03:00</dcterms:created>
  <dcterms:modified xsi:type="dcterms:W3CDTF">2026-10-07T23:12:07+03:00</dcterms:modified>
</cp:coreProperties>
</file>

<file path=docProps/custom.xml><?xml version="1.0" encoding="utf-8"?>
<Properties xmlns="http://schemas.openxmlformats.org/officeDocument/2006/custom-properties" xmlns:vt="http://schemas.openxmlformats.org/officeDocument/2006/docPropsVTypes"/>
</file>