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الدجاني القشاشي
</w:t>
      </w:r>
    </w:p>
    <w:p>
      <w:pPr>
        <w:jc w:val="start"/>
        <w:bidi/>
      </w:pPr>
      <w:r>
        <w:rPr>
          <w:rFonts w:ascii="arial" w:hAnsi="arial" w:eastAsia="arial" w:cs="arial"/>
          <w:sz w:val="28"/>
          <w:szCs w:val="28"/>
          <w:b w:val="1"/>
          <w:bCs w:val="1"/>
          <w:rtl/>
        </w:rPr>
        <w:t xml:space="preserve">الدجاني القشاشي
</w:t>
      </w:r>
    </w:p>
    <w:p>
      <w:pPr/>
      <w:r>
        <w:rPr/>
        <w:t xml:space="preserve">الدجاني القشاشي  أحمد بن محمد بن يونس، صفي الدين الدجاني (بتخفيف الجيم) القشاشي: متصوف فاضل. أصله من القدس من آل الدجاني، انتقل جده (يونس) إلى المدينة، وكان متصوفا متقشفا فاحترف بيع القشاشة وهي سقط المتاع فعرف بالقشاشي. وولد حفيده صاحب الترجمة بالمدينة، وبها اشتهر وتوفي. وكان مالكي المذهب وتحول شافعيا، فصار يفتي في المذهبين. له نحو سبعين كتابا أكثرها في التصوف، منها (شرح الحكم العطائية) التزم فيه أن يختم كل حكمة بحديث يناسبها، و (حاشية على المواهب اللدنية) صغيرة، و (السمط المجيد) في رواياته وأسانيده عن مشايخه وأكثرها في طريق القوم. </w:t>
      </w:r>
    </w:p>
    <w:p>
      <w:pPr>
        <w:jc w:val="start"/>
        <w:bidi/>
      </w:pPr>
      <w:r>
        <w:rPr>
          <w:sz w:val="24"/>
          <w:szCs w:val="24"/>
          <w:b w:val="1"/>
          <w:bCs w:val="1"/>
          <w:rtl/>
        </w:rPr>
        <w:t xml:space="preserve">
الأعلام،(دار العلم للملايين - بيروت،2002،ط 15،ج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2026-09-19T21:40:28+03:00</dcterms:created>
  <dcterms:modified xsi:type="dcterms:W3CDTF">2026-09-19T21:40:28+03:00</dcterms:modified>
</cp:coreProperties>
</file>

<file path=docProps/custom.xml><?xml version="1.0" encoding="utf-8"?>
<Properties xmlns="http://schemas.openxmlformats.org/officeDocument/2006/custom-properties" xmlns:vt="http://schemas.openxmlformats.org/officeDocument/2006/docPropsVTypes"/>
</file>