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أبي بكر بن عبد الله بن توران
</w:t>
      </w:r>
    </w:p>
    <w:p>
      <w:pPr>
        <w:jc w:val="start"/>
        <w:bidi/>
      </w:pPr>
      <w:r>
        <w:rPr>
          <w:rFonts w:ascii="arial" w:hAnsi="arial" w:eastAsia="arial" w:cs="arial"/>
          <w:sz w:val="28"/>
          <w:szCs w:val="28"/>
          <w:b w:val="1"/>
          <w:bCs w:val="1"/>
          <w:rtl/>
        </w:rPr>
        <w:t xml:space="preserve">أيوب بن أبي بكر بن عبد الله بن توران
</w:t>
      </w:r>
    </w:p>
    <w:p>
      <w:pPr/>
      <w:r>
        <w:rPr/>
        <w:t xml:space="preserve">أيوب بن أبي بكر بن عبد الله بن توران أيوب بن أبي بكر بن عبد الله بن توران شاه بن أيوب بن محمد ابن أبي بكر ابن أيوب الملك الصالح نجم الدين ابن الكامل سيف الدين ابن الموحد تقي الدين ابن المعظم غياث الدين ابن الصالح نجم الدين ابن الكامل ناصر الدين ابن العادل سيف الدين ابن نجم الدين ابن شاذي بن مروان الأيوبي صاحب الحصن كان المعظم لما تقرر في سلطنة الديار المصرية نقلا من حصن كيفا إليها ترك ولده الموحد تقي الدين عبد الله فاستمر في مملكة الحصن المذكور وتولى بعده ولده الكامل أبو بكر ثم استقر ولده هذا في المملكة إلى أن حج في سنة 26 فقدم القاهرة وتلقاه الملك الناصر وأكرمه فلما رجع إلى الحج عارضه أخوه فحاربه فقتل أيوب هذا وولده واستولى أخوه على المملكة وذلك في أوائل سنة 727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2026-07-29T13:18:42+03:00</dcterms:created>
  <dcterms:modified xsi:type="dcterms:W3CDTF">2026-07-29T13:18:42+03:00</dcterms:modified>
</cp:coreProperties>
</file>

<file path=docProps/custom.xml><?xml version="1.0" encoding="utf-8"?>
<Properties xmlns="http://schemas.openxmlformats.org/officeDocument/2006/custom-properties" xmlns:vt="http://schemas.openxmlformats.org/officeDocument/2006/docPropsVTypes"/>
</file>