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آقبغا عبد الواحد الناصري
</w:t>
      </w:r>
    </w:p>
    <w:p>
      <w:pPr>
        <w:jc w:val="start"/>
        <w:bidi/>
      </w:pPr>
      <w:r>
        <w:rPr>
          <w:rFonts w:ascii="arial" w:hAnsi="arial" w:eastAsia="arial" w:cs="arial"/>
          <w:sz w:val="28"/>
          <w:szCs w:val="28"/>
          <w:b w:val="1"/>
          <w:bCs w:val="1"/>
          <w:rtl/>
        </w:rPr>
        <w:t xml:space="preserve">آقبغا عبد الواحد الناصري
</w:t>
      </w:r>
    </w:p>
    <w:p>
      <w:pPr/>
      <w:r>
        <w:rPr/>
        <w:t xml:space="preserve">آقبغا عبد الواحد الناصري آقبغا عبد الواحد الناصري تقدم عند الناصري في الجمدارية ثم تنقل منها إلى الإستادارية وولي مع ذلك شاد العمائر ومقدم المماليك وغير ذلك أمر الناصر ولديه أحمد ومحمدا وكان سبب تقديمه عند الناصر أن الناصر كان تزوج أخته طغاي وكان جبارا كثير الظلم ثم صودر في دولة المنصور وسلم لطيبغا المجدي وألزم برد ما اغتصبه وأحاطوا بموجوده إلى أن أعوزه وجود مائة درهم من ماله ثم ولي نيابة حمص في أيام المظفر كجك ثم إمرة دمشق ثم طلب إلى مصر في أول دولة الصالح إسماعيل فكان آخر العهد به وذلك في سنة 744 وهو صاحب المدرسة المجاورة لجامع الأزهر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2026-07-29T07:25:26+03:00</dcterms:created>
  <dcterms:modified xsi:type="dcterms:W3CDTF">2026-07-29T07:25:26+03:00</dcterms:modified>
</cp:coreProperties>
</file>

<file path=docProps/custom.xml><?xml version="1.0" encoding="utf-8"?>
<Properties xmlns="http://schemas.openxmlformats.org/officeDocument/2006/custom-properties" xmlns:vt="http://schemas.openxmlformats.org/officeDocument/2006/docPropsVTypes"/>
</file>