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السراج الأرموي
</w:t>
      </w:r>
    </w:p>
    <w:p>
      <w:pPr>
        <w:jc w:val="start"/>
        <w:bidi/>
      </w:pPr>
      <w:r>
        <w:rPr>
          <w:rFonts w:ascii="arial" w:hAnsi="arial" w:eastAsia="arial" w:cs="arial"/>
          <w:sz w:val="28"/>
          <w:szCs w:val="28"/>
          <w:b w:val="1"/>
          <w:bCs w:val="1"/>
          <w:rtl/>
        </w:rPr>
        <w:t xml:space="preserve">السراج الأرموي
</w:t>
      </w:r>
    </w:p>
    <w:p>
      <w:pPr/>
      <w:r>
        <w:rPr/>
        <w:t xml:space="preserve">السراج الأرموي  محمود بن ابي بكر بن احمد، ابو الثناء، سراج الدين الارموي: عالم بالاصول والمنطق، من الشافعية. اصله من (ارمية) من بلاد اذربيجان. قرأ بالموصل. وسكن دمشق. وتوفي بمدينة (قونية) له تصانيف، منها (مطالع الانوار-ط) في المنطق، شرحه كثيرون، و (التحصيل من المحصول-خ) في الاصول، و (لطائف الحكمة-خ) و (شرح الاشارات) لابن سينا، و (شرح الوجيز) للغزالي، في فروع الفقه، و (بيان الحق-خ) منطق وحكمة. </w:t>
      </w:r>
    </w:p>
    <w:p>
      <w:pPr>
        <w:jc w:val="start"/>
        <w:bidi/>
      </w:pPr>
      <w:r>
        <w:rPr>
          <w:sz w:val="24"/>
          <w:szCs w:val="24"/>
          <w:b w:val="1"/>
          <w:bCs w:val="1"/>
          <w:rtl/>
        </w:rPr>
        <w:t xml:space="preserve">
الأعلام،(دار العلم للملايين - بيروت،2002،ط 15،ج 7،ص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أبي بكر بن أحمد الأرموي الشيخ سراج الدين أبو الثناء
</w:t>
      </w:r>
    </w:p>
    <w:p>
      <w:pPr/>
      <w:r>
        <w:rPr/>
        <w:t xml:space="preserve">محمود بن أبي بكر بن أحمد الأرموي الشيخ سراج الدين أبو الثناء صاحب التحصيل مختصر المحصول في أصول الفقه واللباب مختصر الأربعين في أصول الدين والبيان والمطالع في المنطق وغير ذلك وقيل إنه شرح الوجيز في الفقه</w:t>
      </w:r>
    </w:p>
    <w:p/>
    <w:p>
      <w:pPr/>
      <w:r>
        <w:rPr/>
        <w:t xml:space="preserve">قرأ بالموصل علي كمال الدين بن يونس</w:t>
      </w:r>
    </w:p>
    <w:p/>
    <w:p>
      <w:pPr/>
      <w:r>
        <w:rPr/>
        <w:t xml:space="preserve">مولده في سنة أربع وتسعين وخمسمائة وتوفي في سنة اثنتين وثمانين وستمائة بمدينة قونية</w:t>
      </w:r>
    </w:p>
    <w:p>
      <w:pPr>
        <w:jc w:val="start"/>
        <w:bidi/>
      </w:pPr>
      <w:r>
        <w:rPr>
          <w:sz w:val="24"/>
          <w:szCs w:val="24"/>
          <w:b w:val="1"/>
          <w:bCs w:val="1"/>
          <w:rtl/>
        </w:rPr>
        <w:t xml:space="preserve">
طبقات الشافعية الكبرى،(دار هجر - القاهرة،1992،ط 2،ج 8،ص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أبي بكر بن أحمد الأرموى أبو البنا القاضي سراج الدين.
</w:t>
      </w:r>
    </w:p>
    <w:p>
      <w:pPr/>
      <w:r>
        <w:rPr/>
        <w:t xml:space="preserve">محمود بن أبي بكر بن أحمد الأرموى أبو البنا القاضي سراج الدين. </w:t>
      </w:r>
    </w:p>
    <w:p/>
    <w:p>
      <w:pPr/>
      <w:r>
        <w:rPr/>
        <w:t xml:space="preserve">صاحب ’’التحصيل مختصر المحصول’’، ’’واللباب مختصر الأربعين’’ في أصول الدين، ’’والبيان والمطالع في المنطق’’ قيل وشرح الوجيز أيضاً، قرأ بالموصل على الكمال ابن يونس، ولد سنة أربع وتسعين وخمسمائة، ومات بقريته سنة اثنين وثمانين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2026-10-07T18:06:42+03:00</dcterms:created>
  <dcterms:modified xsi:type="dcterms:W3CDTF">2026-10-07T18:06:42+03:00</dcterms:modified>
</cp:coreProperties>
</file>

<file path=docProps/custom.xml><?xml version="1.0" encoding="utf-8"?>
<Properties xmlns="http://schemas.openxmlformats.org/officeDocument/2006/custom-properties" xmlns:vt="http://schemas.openxmlformats.org/officeDocument/2006/docPropsVTypes"/>
</file>