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إسماعيل بن صالح بن هاشم بن أبي حامد
</w:t>
      </w:r>
    </w:p>
    <w:p>
      <w:pPr>
        <w:jc w:val="start"/>
        <w:bidi/>
      </w:pPr>
      <w:r>
        <w:rPr>
          <w:rFonts w:ascii="arial" w:hAnsi="arial" w:eastAsia="arial" w:cs="arial"/>
          <w:sz w:val="28"/>
          <w:szCs w:val="28"/>
          <w:b w:val="1"/>
          <w:bCs w:val="1"/>
          <w:rtl/>
        </w:rPr>
        <w:t xml:space="preserve">إسماعيل بن صالح بن هاشم بن أبي حامد
</w:t>
      </w:r>
    </w:p>
    <w:p>
      <w:pPr/>
      <w:r>
        <w:rPr/>
        <w:t xml:space="preserve">إسماعيل بن صالح بن هاشم بن أبي حامد إسماعيل بن صالح بن هاشم بن أبي حامد ابن العجمي أخو إبراهيم المقدم ذكره سمع من يوسف بن خليل وخطيب مردا وحدث سمع منه الذهبي وذكره في معجمه وكان من أعيان حلب وناب في الحكم ومات سنة 714</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إسماعيل بن صالح بن هاشم بن عبد الله بن العجمي الحلبي الفقيه أبو محمد الشافعي معين الدين
</w:t>
      </w:r>
    </w:p>
    <w:p>
      <w:pPr/>
      <w:r>
        <w:rPr/>
        <w:t xml:space="preserve">إسماعيل بن صالح بن هاشم بن عبد الله بن العجمي الحلبي الفقيه أبو محمد الشافعي معين الدين سمع يوسف بن خليل، وخطيب مردا، توفي في شوال سنة أربع عشرة وسبع مائة، وقد قارب ثمانين سنة، وكان من أعيان الحلبيين، ناب في الحكم.</w:t>
      </w:r>
    </w:p>
    <w:p/>
    <w:p>
      <w:pPr/>
      <w:r>
        <w:rPr/>
        <w:t xml:space="preserve">أخبرنا إسماعيل بن صالح، ومحمد بن سليمان المغربي، وجماعة قالوا: أنا يوسف بن خليل، أنا خليل بن بدر.</w:t>
      </w:r>
    </w:p>
    <w:p/>
    <w:p>
      <w:pPr/>
      <w:r>
        <w:rPr/>
        <w:t xml:space="preserve">ح وأخبرنا ابن أبي الخير، كتابة، عن خليل، أنا أبو علي المقري، نا أبو نعيم الحافظ، أنا أبو بكر بن خلاد، نا الحارث بن محمد، نا عبد الله بن بكر السهمي، نا حميد، عن أنس، أن النبي صلى الله عليه وسلم قال لرجل من بني النجار: «أسلم».</w:t>
      </w:r>
    </w:p>
    <w:p/>
    <w:p>
      <w:pPr/>
      <w:r>
        <w:rPr/>
        <w:t xml:space="preserve">قال: أجدني كارها، قال: «أسلم وإن كنت كارها».</w:t>
      </w:r>
    </w:p>
    <w:p/>
    <w:p>
      <w:pPr/>
      <w:r>
        <w:rPr/>
        <w:t xml:space="preserve">هذا حديث صحيح غريب</w:t>
      </w:r>
    </w:p>
    <w:p>
      <w:pPr>
        <w:jc w:val="start"/>
        <w:bidi/>
      </w:pPr>
      <w:r>
        <w:rPr>
          <w:sz w:val="24"/>
          <w:szCs w:val="24"/>
          <w:b w:val="1"/>
          <w:bCs w:val="1"/>
          <w:rtl/>
        </w:rPr>
        <w:t xml:space="preserve">
معجم الشيوخ - المعجم الكبير / للذهبي،(مكتبة الصديق، الطائف - المملكة العربية السعودية،1988،ط 1،ج 1،ص 174)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2026-07-28T03:08:54+03:00</dcterms:created>
  <dcterms:modified xsi:type="dcterms:W3CDTF">2026-07-28T03:08:54+03:00</dcterms:modified>
</cp:coreProperties>
</file>

<file path=docProps/custom.xml><?xml version="1.0" encoding="utf-8"?>
<Properties xmlns="http://schemas.openxmlformats.org/officeDocument/2006/custom-properties" xmlns:vt="http://schemas.openxmlformats.org/officeDocument/2006/docPropsVTypes"/>
</file>