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علم بن محمود بن عمر الحراني
</w:t>
      </w:r>
    </w:p>
    <w:p>
      <w:pPr>
        <w:jc w:val="start"/>
        <w:bidi/>
      </w:pPr>
      <w:r>
        <w:rPr>
          <w:rFonts w:ascii="arial" w:hAnsi="arial" w:eastAsia="arial" w:cs="arial"/>
          <w:sz w:val="28"/>
          <w:szCs w:val="28"/>
          <w:b w:val="1"/>
          <w:bCs w:val="1"/>
          <w:rtl/>
        </w:rPr>
        <w:t xml:space="preserve">أحمد بن علم بن محمود بن عمر الحراني
</w:t>
      </w:r>
    </w:p>
    <w:p>
      <w:pPr/>
      <w:r>
        <w:rPr/>
        <w:t xml:space="preserve">أحمد بن علم بن محمود بن عمر الحراني أحمد بن علم بن محمود بن عمر الحراني الدمشقي الحنبلي تقي الدين ولد سنة 684 وأحضر في الخامسة على الفاضلي وسمع من الزين الفارقي وست الأهل بنت علوان وابن مؤمن والموازيني وابن مشرف والفخر إسماعيل ابن عساكر وإسحاق النحاس ومن بعدهم وله إجازة من الفخر ابن البخاري وطلب بنفسه وأسمع أولاده قال الذهبي حرص وأثبت وحفظ الشاطبية وفيه دين ومروءة وخير وقال بن رافع كان دينا خيرا ذا مروءة وعقل مات في ليلة مستهل ذي الحجة سنة 742</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2026-07-29T07:27:59+03:00</dcterms:created>
  <dcterms:modified xsi:type="dcterms:W3CDTF">2026-07-29T07:27:59+03:00</dcterms:modified>
</cp:coreProperties>
</file>

<file path=docProps/custom.xml><?xml version="1.0" encoding="utf-8"?>
<Properties xmlns="http://schemas.openxmlformats.org/officeDocument/2006/custom-properties" xmlns:vt="http://schemas.openxmlformats.org/officeDocument/2006/docPropsVTypes"/>
</file>