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الأردبيلي
</w:t>
      </w:r>
    </w:p>
    <w:p>
      <w:pPr/>
      <w:r>
        <w:rPr/>
        <w:t xml:space="preserve">الأردبيلي  أحمد بن محمد الاردبيلي:فاضل، من فقهاء الامامية وزهادهم نسبته إلى اردبيل ’’بأذربيجان’’ ووفاته بكربلاء، من كتبه (مجمع الفائدة والبرهان في شرح ارشاد الاذهان - ط) مجلدان، و (زبدة البيان في شرح ايات احكام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الأردبيلي
</w:t>
      </w:r>
    </w:p>
    <w:p>
      <w:pPr/>
      <w:r>
        <w:rPr/>
        <w:t xml:space="preserve">الأردبيلي اسمه أحمد بن محمد 755: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2026-09-19T20:31:02+03:00</dcterms:created>
  <dcterms:modified xsi:type="dcterms:W3CDTF">2026-09-19T20:31:02+03:00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