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سلامة المقدسي ثم المصري شهاب الدين
</w:t>
      </w:r>
    </w:p>
    <w:p>
      <w:pPr>
        <w:jc w:val="start"/>
        <w:bidi/>
      </w:pPr>
      <w:r>
        <w:rPr>
          <w:rFonts w:ascii="arial" w:hAnsi="arial" w:eastAsia="arial" w:cs="arial"/>
          <w:sz w:val="28"/>
          <w:szCs w:val="28"/>
          <w:b w:val="1"/>
          <w:bCs w:val="1"/>
          <w:rtl/>
        </w:rPr>
        <w:t xml:space="preserve">أحمد بن سلامة المقدسي ثم المصري شهاب الدين
</w:t>
      </w:r>
    </w:p>
    <w:p>
      <w:pPr/>
      <w:r>
        <w:rPr/>
        <w:t xml:space="preserve">أحمد بن سلامة المقدسي ثم المصري شهاب الدين أحمد بن سلامة المقدسي ثم المصري شهاب الدين الواعظ كان شيخا بالخانقاه وخطيبا بالجامع كلاهما لبشتك وكان عليه قبول في وعظه ثم تعصب عليه بعضهم فخرجت عنه الخانقاه فعوضه الله خانقاه سرياقوس فباشرها إلى أن مات سنة 769 وصنف كتابا في الصوفية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2026-07-27T22:22:20+03:00</dcterms:created>
  <dcterms:modified xsi:type="dcterms:W3CDTF">2026-07-27T22:22:20+03:00</dcterms:modified>
</cp:coreProperties>
</file>

<file path=docProps/custom.xml><?xml version="1.0" encoding="utf-8"?>
<Properties xmlns="http://schemas.openxmlformats.org/officeDocument/2006/custom-properties" xmlns:vt="http://schemas.openxmlformats.org/officeDocument/2006/docPropsVTypes"/>
</file>