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سليمان بن يوسف الغرناطي أبو جعفر
</w:t>
      </w:r>
    </w:p>
    <w:p>
      <w:pPr>
        <w:jc w:val="start"/>
        <w:bidi/>
      </w:pPr>
      <w:r>
        <w:rPr>
          <w:rFonts w:ascii="arial" w:hAnsi="arial" w:eastAsia="arial" w:cs="arial"/>
          <w:sz w:val="28"/>
          <w:szCs w:val="28"/>
          <w:b w:val="1"/>
          <w:bCs w:val="1"/>
          <w:rtl/>
        </w:rPr>
        <w:t xml:space="preserve">أحمد بن سليمان بن يوسف الغرناطي أبو جعفر
</w:t>
      </w:r>
    </w:p>
    <w:p>
      <w:pPr/>
      <w:r>
        <w:rPr/>
        <w:t xml:space="preserve">أحمد بن سليمان بن يوسف الغرناطي أبو جعفر أحمد بن سليمان بن يوسف الغرناطي أبو جعفر بن الحداد قرأ على أبي الحسن المنجاطي وأبي عبد الله بن الفخار وغيرهما وكان مشاركا في الفقه والفرائض والعربية وناب في القضاء ثم ولي ببعض البلاد وكان نزها عفيفا اغتاله بعض الشطار لكونه وجه الحكم عليه في استخلاص مال يتيم فقبض على قاتله فصلب بالمكان الذي فتك به فيه وذلك في 25 شهر رمضان سنة 752 ورثاه لسان الدين ابن الخطيب بأبيات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2026-07-29T03:22:50+03:00</dcterms:created>
  <dcterms:modified xsi:type="dcterms:W3CDTF">2026-07-29T03:22:50+03:00</dcterms:modified>
</cp:coreProperties>
</file>

<file path=docProps/custom.xml><?xml version="1.0" encoding="utf-8"?>
<Properties xmlns="http://schemas.openxmlformats.org/officeDocument/2006/custom-properties" xmlns:vt="http://schemas.openxmlformats.org/officeDocument/2006/docPropsVTypes"/>
</file>