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أبي بكر بن عيسى
</w:t>
      </w:r>
    </w:p>
    <w:p>
      <w:pPr>
        <w:jc w:val="start"/>
        <w:bidi/>
      </w:pPr>
      <w:r>
        <w:rPr>
          <w:rFonts w:ascii="arial" w:hAnsi="arial" w:eastAsia="arial" w:cs="arial"/>
          <w:sz w:val="28"/>
          <w:szCs w:val="28"/>
          <w:b w:val="1"/>
          <w:bCs w:val="1"/>
          <w:rtl/>
        </w:rPr>
        <w:t xml:space="preserve">إبراهيم بن محمد بن أبي بكر بن عيسى
</w:t>
      </w:r>
    </w:p>
    <w:p>
      <w:pPr/>
      <w:r>
        <w:rPr/>
        <w:t xml:space="preserve">إبراهيم بن محمد بن أبي بكر بن عيسى إبراهيم بن محمد بن أبي بكر بن عيسى بن بدران بن إبراهيم بن أحمد السعدي الأخنائي المالكي برهان الدين بن علم الدين ولد بالقاهرة سنة ... وتفقه على مذهب ابيه للشافعي وحفظ التنبيه ودخل دمشق مع أبيه لما تولى قضاءها وسمع بها من ابن الشحنة عدة أجزاء منها جزء ابن مخلد ومن إبراهيم بن الواني وعبد الغالب الماكسيني ثم ولي قضاء الديار المصرية بعد أخيه تاج الدين سنة 63 وكان قبل ذلك ينوب عنه فباشر بنزاهة وحرمة وعفة وكان شهما مقداما ولي قبل القضاء الحسبة ونظر الخزانة ونظر المرستان ومات في الثاني من شهر رجب سنة 777 وله في أحكامه قضايا مشهورة في رد رسائل الرؤساء مع المروة والإفضال والجود وكان مسعودا في حركاته ومباشرته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2026-07-28T01:21:57+03:00</dcterms:created>
  <dcterms:modified xsi:type="dcterms:W3CDTF">2026-07-28T01:21:57+03:00</dcterms:modified>
</cp:coreProperties>
</file>

<file path=docProps/custom.xml><?xml version="1.0" encoding="utf-8"?>
<Properties xmlns="http://schemas.openxmlformats.org/officeDocument/2006/custom-properties" xmlns:vt="http://schemas.openxmlformats.org/officeDocument/2006/docPropsVTypes"/>
</file>