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بن إبراهيم الحلواني
</w:t>
      </w:r>
    </w:p>
    <w:p>
      <w:pPr>
        <w:jc w:val="start"/>
        <w:bidi/>
      </w:pPr>
      <w:r>
        <w:rPr>
          <w:rFonts w:ascii="arial" w:hAnsi="arial" w:eastAsia="arial" w:cs="arial"/>
          <w:sz w:val="28"/>
          <w:szCs w:val="28"/>
          <w:b w:val="1"/>
          <w:bCs w:val="1"/>
          <w:rtl/>
        </w:rPr>
        <w:t xml:space="preserve">إبراهيم بن علي بن إبراهيم الحلواني
</w:t>
      </w:r>
    </w:p>
    <w:p>
      <w:pPr/>
      <w:r>
        <w:rPr/>
        <w:t xml:space="preserve">إبراهيم بن علي بن إبراهيم الحلواني إبراهيم بن علي بن إبراهيم الحلواني بفتح الحاء واللام كان أصله من الشام وسكن مصر فصار يتكلم على الناس وكان حسن الصوت ماهرا في فنه رائج السوق وقد حج مرارا وجاور وامتحن عند السراج الهندي بسبب كلام صدر منه في حق أبي حنيفة ثم انتصر له القاضي برهان الدين ابن جماعة وعاد إلى حاله فلم يزل إلى أن مات في تاسع صفر سنة 791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2026-07-28T06:38:57+03:00</dcterms:created>
  <dcterms:modified xsi:type="dcterms:W3CDTF">2026-07-28T06:38:57+03:00</dcterms:modified>
</cp:coreProperties>
</file>

<file path=docProps/custom.xml><?xml version="1.0" encoding="utf-8"?>
<Properties xmlns="http://schemas.openxmlformats.org/officeDocument/2006/custom-properties" xmlns:vt="http://schemas.openxmlformats.org/officeDocument/2006/docPropsVTypes"/>
</file>