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عبد المغيث القمني جمال الدين
</w:t>
      </w:r>
    </w:p>
    <w:p>
      <w:pPr>
        <w:jc w:val="start"/>
        <w:bidi/>
      </w:pPr>
      <w:r>
        <w:rPr>
          <w:rFonts w:ascii="arial" w:hAnsi="arial" w:eastAsia="arial" w:cs="arial"/>
          <w:sz w:val="28"/>
          <w:szCs w:val="28"/>
          <w:b w:val="1"/>
          <w:bCs w:val="1"/>
          <w:rtl/>
        </w:rPr>
        <w:t xml:space="preserve">إبراهيم بن عبد المغيث القمني جمال الدين
</w:t>
      </w:r>
    </w:p>
    <w:p>
      <w:pPr/>
      <w:r>
        <w:rPr/>
        <w:t xml:space="preserve">إبراهيم بن عبد المغيث القمني جمال الدين إبراهيم بن عبد المغيث القمني جمال الدين اشتغل بقوص ثم تحول إلى القاهرة وناب في قضاء الجيزة ثم ولي قضاء فرشوط وإسنا وأدفو نحوا من ثلاثين سنة ومات بقوص سنة 728 وكان عارفا بالفرائض مشاركا في الفقه نزها مرضيا هكذا ترجمه الذهبي في المعجم المختص وقال البرزالي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2026-07-28T07:50:38+03:00</dcterms:created>
  <dcterms:modified xsi:type="dcterms:W3CDTF">2026-07-28T07:50:38+03:00</dcterms:modified>
</cp:coreProperties>
</file>

<file path=docProps/custom.xml><?xml version="1.0" encoding="utf-8"?>
<Properties xmlns="http://schemas.openxmlformats.org/officeDocument/2006/custom-properties" xmlns:vt="http://schemas.openxmlformats.org/officeDocument/2006/docPropsVTypes"/>
</file>