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أحمد بن عيسى بن عمر بن خالد بن عبد المحسن
</w:t>
      </w:r>
    </w:p>
    <w:p>
      <w:pPr>
        <w:jc w:val="start"/>
        <w:bidi/>
      </w:pPr>
      <w:r>
        <w:rPr>
          <w:rFonts w:ascii="arial" w:hAnsi="arial" w:eastAsia="arial" w:cs="arial"/>
          <w:sz w:val="28"/>
          <w:szCs w:val="28"/>
          <w:b w:val="1"/>
          <w:bCs w:val="1"/>
          <w:rtl/>
        </w:rPr>
        <w:t xml:space="preserve">إبراهيم بن أحمد بن عيسى بن عمر بن خالد بن عبد المحسن
</w:t>
      </w:r>
    </w:p>
    <w:p>
      <w:pPr/>
      <w:r>
        <w:rPr/>
        <w:t xml:space="preserve">إبراهيم بن أحمد بن عيسى بن عمر بن خالد بن عبد المحسن إبراهيم بن أحمد بن عيسى بن عمر بن خالد بن عبد المحسن بن نشوان القاضي بدر الدين ابن الخشاب ولد في ربيع الأول سنة 698 وسمع من جده مجد الدين عيسى ومن علي بن عيسى بن القيم ومن الشريف عز الدين الموسوي وغيرهم واشتغل كثيرا ومهر وأفتى ودرس وولي قضاء حلب بعد أن ناب في الحكم بالقاهرة عدة سنين ثم ولى قضاء المدينة المنورة في سنة 54 إلى أن عزل منه سنة 56 وأقام مصروفا ومات راجعا إلى القاهرة لمرض عرض له ودفن بجزيرة قريبا من عيون القصب في جمادى الأول سنة 775 عن نحو ثمانين سنة وكان فاضلا خيرا فصيحا بصيرا بالأحكام عارفا بالشروط له تصنيف في المناسك ونظم وخطب وقرأ القرآن وهو كبير على شمس الدين ابن السراج قرأت ذلك بخط ابن سكر وصنف في المناسك وشرح قطعة من المنهاج وذكره أبو جعفر بن الكويك في مشيخة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2026-07-28T14:28:23+03:00</dcterms:created>
  <dcterms:modified xsi:type="dcterms:W3CDTF">2026-07-28T14:28:23+03:00</dcterms:modified>
</cp:coreProperties>
</file>

<file path=docProps/custom.xml><?xml version="1.0" encoding="utf-8"?>
<Properties xmlns="http://schemas.openxmlformats.org/officeDocument/2006/custom-properties" xmlns:vt="http://schemas.openxmlformats.org/officeDocument/2006/docPropsVTypes"/>
</file>