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بركة الموصلي الحنفي
</w:t>
      </w:r>
    </w:p>
    <w:p>
      <w:pPr>
        <w:jc w:val="start"/>
        <w:bidi/>
      </w:pPr>
      <w:r>
        <w:rPr>
          <w:rFonts w:ascii="arial" w:hAnsi="arial" w:eastAsia="arial" w:cs="arial"/>
          <w:sz w:val="28"/>
          <w:szCs w:val="28"/>
          <w:b w:val="1"/>
          <w:bCs w:val="1"/>
          <w:rtl/>
        </w:rPr>
        <w:t xml:space="preserve">إبراهيم بن أحمد بن بركة الموصلي الحنفي
</w:t>
      </w:r>
    </w:p>
    <w:p>
      <w:pPr/>
      <w:r>
        <w:rPr/>
        <w:t xml:space="preserve">إبراهيم بن أحمد بن بركة الموصلي الحنفي إبراهيم بن أحمد بن بركة الموصلي الحنفي شارح المنظومة والمختار سماه توجيه المختار وله كتاب سلالة الهداية كان عالما بارعا أخذ عن صاحب المختار وكان موجودا بعد السبعين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بركة الفقيه الموصلي
</w:t>
      </w:r>
    </w:p>
    <w:p>
      <w:pPr/>
      <w:r>
        <w:rPr/>
        <w:t xml:space="preserve">إبراهيم بن أحمد بن بركة الفقيه الموصلي له ’’ شرح المنظومة ’’، وله ’’ سلالة الهداية ’’.</w:t>
      </w:r>
    </w:p>
    <w:p/>
    <w:p>
      <w:pPr/>
      <w:r>
        <w:rPr/>
        <w:t xml:space="preserve">كذا في ’’ الجواهر ’’.</w:t>
      </w:r>
    </w:p>
    <w:p>
      <w:pPr>
        <w:jc w:val="start"/>
        <w:bidi/>
      </w:pPr>
      <w:r>
        <w:rPr>
          <w:sz w:val="24"/>
          <w:szCs w:val="24"/>
          <w:b w:val="1"/>
          <w:bCs w:val="1"/>
          <w:rtl/>
        </w:rPr>
        <w:t xml:space="preserve">
الطبقات السنية في تراجم الحنفية،(دار الرفاعي - الرياض،1983،ط 0،ج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2026-07-29T10:41:05+03:00</dcterms:created>
  <dcterms:modified xsi:type="dcterms:W3CDTF">2026-07-29T10:41:05+03:00</dcterms:modified>
</cp:coreProperties>
</file>

<file path=docProps/custom.xml><?xml version="1.0" encoding="utf-8"?>
<Properties xmlns="http://schemas.openxmlformats.org/officeDocument/2006/custom-properties" xmlns:vt="http://schemas.openxmlformats.org/officeDocument/2006/docPropsVTypes"/>
</file>