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عامر 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عامر الحارثي
</w:t>
      </w:r>
    </w:p>
    <w:p>
      <w:pPr/>
      <w:r>
        <w:rPr/>
        <w:t xml:space="preserve">عمرو بن عامر الحارثي يعرف بابن هند من أهل نجران، أنشدني أحمد بن زهير عن دعبل له:</w:t>
      </w:r>
    </w:p>
    <w:p/>
    <w:p>
      <w:pPr>
        <w:jc w:val="center"/>
      </w:pPr>
      <w:r>
        <w:rPr>
          <w:color w:val="ff0000"/>
        </w:rPr>
        <w:t xml:space="preserve">أرقت للوعة هم سرى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فبت أراعي النجوم المثولا</w:t>
      </w:r>
    </w:p>
    <w:p/>
    <w:p>
      <w:pPr>
        <w:jc w:val="center"/>
      </w:pPr>
      <w:r>
        <w:rPr>
          <w:color w:val="ff0000"/>
        </w:rPr>
        <w:t xml:space="preserve">إذا قلت ولت تداعت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غياطل تؤيسني أن تزولا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2026-07-28T09:31:57+03:00</dcterms:created>
  <dcterms:modified xsi:type="dcterms:W3CDTF">2026-07-28T09:31:57+03:00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