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ثعلبة بن أسعد بن همام بن مرة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ثعلبة بن أسعد بن همام بن مرة الشيباني
</w:t>
      </w:r>
    </w:p>
    <w:p>
      <w:pPr/>
      <w:r>
        <w:rPr/>
        <w:t xml:space="preserve">عمرو بن ثعلبة بن أسعد بن همام بن مرة الشيباني. هو الذي يقول، أنشدنيها ثعلب وغيره:</w:t>
      </w:r>
    </w:p>
    <w:p/>
    <w:p>
      <w:pPr>
        <w:jc w:val="center"/>
      </w:pPr>
      <w:r>
        <w:rPr>
          <w:color w:val="ff0000"/>
        </w:rPr>
        <w:t xml:space="preserve">تجانف رضوان عن ضيفه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ألم تأت رضوان عني النذر</w:t>
      </w:r>
    </w:p>
    <w:p/>
    <w:p>
      <w:pPr>
        <w:jc w:val="center"/>
      </w:pPr>
      <w:r>
        <w:rPr>
          <w:color w:val="ff0000"/>
        </w:rPr>
        <w:t xml:space="preserve">وحسبك في القوم أن يعلموا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بأنك فيهم غني مضر</w:t>
      </w:r>
    </w:p>
    <w:p/>
    <w:p>
      <w:pPr>
        <w:jc w:val="center"/>
      </w:pPr>
      <w:r>
        <w:rPr>
          <w:color w:val="ff0000"/>
        </w:rPr>
        <w:t xml:space="preserve">فأنت محلك دون العرا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 تباعد رفدك من أن تصر</w:t>
      </w:r>
    </w:p>
    <w:p/>
    <w:p>
      <w:pPr>
        <w:jc w:val="center"/>
      </w:pPr>
      <w:r>
        <w:rPr>
          <w:color w:val="ff0000"/>
        </w:rPr>
        <w:t xml:space="preserve">وأنت مسيخ كلحم الحوار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أنت حلو ولا أنت مر</w:t>
      </w:r>
    </w:p>
    <w:p/>
    <w:p>
      <w:pPr>
        <w:jc w:val="center"/>
      </w:pPr>
      <w:r>
        <w:rPr>
          <w:color w:val="ff0000"/>
        </w:rPr>
        <w:t xml:space="preserve">فأيه بوطبيك تحت الروا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 واسع رويدا ولا تنبهر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2026-07-28T08:14:33+03:00</dcterms:created>
  <dcterms:modified xsi:type="dcterms:W3CDTF">2026-07-28T08:14:33+03:00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