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الجون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الجون الفزاري
</w:t>
      </w:r>
    </w:p>
    <w:p>
      <w:pPr/>
      <w:r>
        <w:rPr/>
        <w:t xml:space="preserve">عمرو بن الجون الفزاري أمه هند ابنة بدر بن عمرو.</w:t>
      </w:r>
    </w:p>
    <w:p/>
    <w:p>
      <w:pPr/>
      <w:r>
        <w:rPr/>
        <w:t xml:space="preserve">من قوله:</w:t>
      </w:r>
    </w:p>
    <w:p/>
    <w:p>
      <w:pPr>
        <w:jc w:val="center"/>
      </w:pPr>
      <w:r>
        <w:rPr>
          <w:color w:val="ff0000"/>
        </w:rPr>
        <w:t xml:space="preserve">ولو أن أمي من سواكم لألفيت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لقيس بن سعد دون أرضهما الرقم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2026-07-28T19:46:29+03:00</dcterms:created>
  <dcterms:modified xsi:type="dcterms:W3CDTF">2026-07-28T19:46:29+03:00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