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موسى بن محمد في المسجد الحرام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موسى بن محمد في المسجد الحرام
</w:t>
      </w:r>
    </w:p>
    <w:p>
      <w:pPr/>
      <w:r>
        <w:rPr/>
        <w:t xml:space="preserve">موسى بن محمد في المسجد الحرام حدثنا موسى بن محمد، بمكة، حدثنا محمد بن علي الصائغ، حدثنا إبراهيم بن محمد، حدثنا سفيان، عن رقبة، قال: سأل أبي ابن شبرمة، فقال: يا أبا شبرمة، ما حد السكران، قال: «إذا طاشت رجلاه واختلف كلامه»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معجم الشيوخ للصيداوي،(مؤسسة الرسالة , دار الإيمان - بيروت , طرابلس،0،ط 1،ج 1،ص 362)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2026-07-28T02:48:23+03:00</dcterms:created>
  <dcterms:modified xsi:type="dcterms:W3CDTF">2026-07-28T02:48:23+03:00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