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شقيق بن محمد بن هبة الله بن علي أبو دجانة
</w:t>
      </w:r>
    </w:p>
    <w:p>
      <w:pPr>
        <w:jc w:val="start"/>
        <w:bidi/>
      </w:pPr>
      <w:r>
        <w:rPr>
          <w:rFonts w:ascii="arial" w:hAnsi="arial" w:eastAsia="arial" w:cs="arial"/>
          <w:sz w:val="28"/>
          <w:szCs w:val="28"/>
          <w:b w:val="1"/>
          <w:bCs w:val="1"/>
          <w:rtl/>
        </w:rPr>
        <w:t xml:space="preserve">شقيق بن محمد بن هبة الله بن علي أبو دجانة
</w:t>
      </w:r>
    </w:p>
    <w:p>
      <w:pPr/>
      <w:r>
        <w:rPr/>
        <w:t xml:space="preserve">شقيق بن محمد بن هبة الله بن علي أبو دجانة حدثنا شقيق بن محمد بالفسطاط، حدثنا مطلب بن شعيب، حدثنا أبو صالح، حدثنا عمرو بن هاشم، عن محمد، عن أبان، عن أنس، قال: قال رسول الله صلى الله عليه وسلم: «من سلب جلباب الحياء فلا غيبة له»</w:t>
      </w:r>
    </w:p>
    <w:p>
      <w:pPr>
        <w:jc w:val="start"/>
        <w:bidi/>
      </w:pPr>
      <w:r>
        <w:rPr>
          <w:sz w:val="24"/>
          <w:szCs w:val="24"/>
          <w:b w:val="1"/>
          <w:bCs w:val="1"/>
          <w:rtl/>
        </w:rPr>
        <w:t xml:space="preserve">
معجم الشيوخ للصيداوي،(مؤسسة الرسالة , دار الإيمان - بيروت , طرابلس،0،ط 1،ج 1،ص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2026-07-29T11:03:45+03:00</dcterms:created>
  <dcterms:modified xsi:type="dcterms:W3CDTF">2026-07-29T11:03:45+03:00</dcterms:modified>
</cp:coreProperties>
</file>

<file path=docProps/custom.xml><?xml version="1.0" encoding="utf-8"?>
<Properties xmlns="http://schemas.openxmlformats.org/officeDocument/2006/custom-properties" xmlns:vt="http://schemas.openxmlformats.org/officeDocument/2006/docPropsVTypes"/>
</file>