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علي أبو محمد الهمذاني
</w:t>
      </w:r>
    </w:p>
    <w:p>
      <w:pPr>
        <w:jc w:val="start"/>
        <w:bidi/>
      </w:pPr>
      <w:r>
        <w:rPr>
          <w:rFonts w:ascii="arial" w:hAnsi="arial" w:eastAsia="arial" w:cs="arial"/>
          <w:sz w:val="28"/>
          <w:szCs w:val="28"/>
          <w:b w:val="1"/>
          <w:bCs w:val="1"/>
          <w:rtl/>
        </w:rPr>
        <w:t xml:space="preserve">جعفر بن محمد بن علي أبو محمد الهمذاني
</w:t>
      </w:r>
    </w:p>
    <w:p>
      <w:pPr/>
      <w:r>
        <w:rPr/>
        <w:t xml:space="preserve">جعفر بن محمد بن علي أبو محمد الهمذاني حدثنا جعفر بن محمد، حدثنا هلال بن العلاء، حدثنا حجاج بن محمد، حدثنا ابن جريج، أخبرني موسى بن عقبة، عن سهيل بن أبي صالح، عن أبيه، عن أبي هريرة، عن النبي صلى الله عليه وسلم قال: ’’ من جلس في مجلس كثر فيه لغطه، فقال قبل أن ، يقوم: سبحانك ربنا وبحمدك، لا إله إلا أنت أستغفرك ثم أتوب إليك إلا غفر له ما كان في مجلسه ’’</w:t>
      </w:r>
    </w:p>
    <w:p>
      <w:pPr>
        <w:jc w:val="start"/>
        <w:bidi/>
      </w:pPr>
      <w:r>
        <w:rPr>
          <w:sz w:val="24"/>
          <w:szCs w:val="24"/>
          <w:b w:val="1"/>
          <w:bCs w:val="1"/>
          <w:rtl/>
        </w:rPr>
        <w:t xml:space="preserve">
معجم الشيوخ للصيداوي،(مؤسسة الرسالة , دار الإيمان - بيروت , طرابلس،0،ط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2026-07-29T00:17:06+03:00</dcterms:created>
  <dcterms:modified xsi:type="dcterms:W3CDTF">2026-07-29T00:17:06+03:00</dcterms:modified>
</cp:coreProperties>
</file>

<file path=docProps/custom.xml><?xml version="1.0" encoding="utf-8"?>
<Properties xmlns="http://schemas.openxmlformats.org/officeDocument/2006/custom-properties" xmlns:vt="http://schemas.openxmlformats.org/officeDocument/2006/docPropsVTypes"/>
</file>