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الحسن أبو عبد الله الأصبهاني
</w:t>
      </w:r>
    </w:p>
    <w:p>
      <w:pPr>
        <w:jc w:val="start"/>
        <w:bidi/>
      </w:pPr>
      <w:r>
        <w:rPr>
          <w:rFonts w:ascii="arial" w:hAnsi="arial" w:eastAsia="arial" w:cs="arial"/>
          <w:sz w:val="28"/>
          <w:szCs w:val="28"/>
          <w:b w:val="1"/>
          <w:bCs w:val="1"/>
          <w:rtl/>
        </w:rPr>
        <w:t xml:space="preserve">جعفر بن محمد بن الحسن أبو عبد الله الأصبهاني
</w:t>
      </w:r>
    </w:p>
    <w:p>
      <w:pPr/>
      <w:r>
        <w:rPr/>
        <w:t xml:space="preserve">جعفر بن محمد بن الحسن أبو عبد الله الأصبهاني حدثنا جعفر بن محمد بسيراف، حدثنا هارون بن سليمان الخراز، حدثنا أبو قتيبة، حدثنا عبد الجبار بن عباس، حدثنا أبو إسحاق، عن سعيد بن جبير، عن ابن عباس، عن أبي بن كعب، عن النبي صلى الله عليه وسلم، قال: «الغلام الذي قتله صاحب موسى طبع كافرا»</w:t>
      </w:r>
    </w:p>
    <w:p>
      <w:pPr>
        <w:jc w:val="start"/>
        <w:bidi/>
      </w:pPr>
      <w:r>
        <w:rPr>
          <w:sz w:val="24"/>
          <w:szCs w:val="24"/>
          <w:b w:val="1"/>
          <w:bCs w:val="1"/>
          <w:rtl/>
        </w:rPr>
        <w:t xml:space="preserve">
معجم الشيوخ للصيداوي،(مؤسسة الرسالة , دار الإيمان - بيروت , طرابلس،0،ط 1،ج 1،ص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2026-07-28T23:56:32+03:00</dcterms:created>
  <dcterms:modified xsi:type="dcterms:W3CDTF">2026-07-28T23:56:32+03:00</dcterms:modified>
</cp:coreProperties>
</file>

<file path=docProps/custom.xml><?xml version="1.0" encoding="utf-8"?>
<Properties xmlns="http://schemas.openxmlformats.org/officeDocument/2006/custom-properties" xmlns:vt="http://schemas.openxmlformats.org/officeDocument/2006/docPropsVTypes"/>
</file>