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يوسف بن إسحاق المنبجي أبو بكر
</w:t>
      </w:r>
    </w:p>
    <w:p>
      <w:pPr>
        <w:jc w:val="start"/>
        <w:bidi/>
      </w:pPr>
      <w:r>
        <w:rPr>
          <w:rFonts w:ascii="arial" w:hAnsi="arial" w:eastAsia="arial" w:cs="arial"/>
          <w:sz w:val="28"/>
          <w:szCs w:val="28"/>
          <w:b w:val="1"/>
          <w:bCs w:val="1"/>
          <w:rtl/>
        </w:rPr>
        <w:t xml:space="preserve">أحمد بن يوسف بن إسحاق المنبجي أبو بكر
</w:t>
      </w:r>
    </w:p>
    <w:p>
      <w:pPr/>
      <w:r>
        <w:rPr/>
        <w:t xml:space="preserve">أحمد بن يوسف بن إسحاق المنبجي أبو بكر أخبرنا أحمد بن يوسف بمنبج، حدثنا سهل بن صالح، حدثنا عبدة بن سليمان، حدثنا علي بن صالح، عن أشعث بن أبي الشعثاء، عن معاوية بن سويد بن مقرن، عن البراء، قال: «نهى رسول الله صلى الله عليه وسلم عن خاتم الذهب»</w:t>
      </w:r>
    </w:p>
    <w:p>
      <w:pPr>
        <w:jc w:val="start"/>
        <w:bidi/>
      </w:pPr>
      <w:r>
        <w:rPr>
          <w:sz w:val="24"/>
          <w:szCs w:val="24"/>
          <w:b w:val="1"/>
          <w:bCs w:val="1"/>
          <w:rtl/>
        </w:rPr>
        <w:t xml:space="preserve">
معجم الشيوخ للصيداوي،(مؤسسة الرسالة , دار الإيمان - بيروت , طرابلس،0،ط 1،ج 1،ص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2026-07-27T23:34:31+03:00</dcterms:created>
  <dcterms:modified xsi:type="dcterms:W3CDTF">2026-07-27T23:34:31+03:00</dcterms:modified>
</cp:coreProperties>
</file>

<file path=docProps/custom.xml><?xml version="1.0" encoding="utf-8"?>
<Properties xmlns="http://schemas.openxmlformats.org/officeDocument/2006/custom-properties" xmlns:vt="http://schemas.openxmlformats.org/officeDocument/2006/docPropsVTypes"/>
</file>