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زكريا بن يحيى بن يعقوب أبو الحسن المقدسي
</w:t>
      </w:r>
    </w:p>
    <w:p>
      <w:pPr>
        <w:jc w:val="start"/>
        <w:bidi/>
      </w:pPr>
      <w:r>
        <w:rPr>
          <w:rFonts w:ascii="arial" w:hAnsi="arial" w:eastAsia="arial" w:cs="arial"/>
          <w:sz w:val="28"/>
          <w:szCs w:val="28"/>
          <w:b w:val="1"/>
          <w:bCs w:val="1"/>
          <w:rtl/>
        </w:rPr>
        <w:t xml:space="preserve">أحمد بن زكريا بن يحيى بن يعقوب أبو الحسن المقدسي
</w:t>
      </w:r>
    </w:p>
    <w:p>
      <w:pPr/>
      <w:r>
        <w:rPr/>
        <w:t xml:space="preserve">أحمد بن زكريا بن يحيى بن يعقوب أبو الحسن المقدسي أخبرنا أحمد بن زكريا، حدثنا أبو عبد المؤمن أحمد بن شيبان، حدثنا مؤمل بن إسماعيل، حدثنا سفيان الثوري، عن عاصم، عن أبي عثمان، عن أبي موسى، قال: قال رسول الله صلى الله عليه وسلم: «أهل المعروف في الدنيا أهل المعروف في الآخرة، وأهل المنكر في الدنيا أهل المنكر في الآخرة»</w:t>
      </w:r>
    </w:p>
    <w:p>
      <w:pPr>
        <w:jc w:val="start"/>
        <w:bidi/>
      </w:pPr>
      <w:r>
        <w:rPr>
          <w:sz w:val="24"/>
          <w:szCs w:val="24"/>
          <w:b w:val="1"/>
          <w:bCs w:val="1"/>
          <w:rtl/>
        </w:rPr>
        <w:t xml:space="preserve">
معجم الشيوخ للصيداوي،(مؤسسة الرسالة , دار الإيمان - بيروت , طرابلس،0،ط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2026-07-28T23:56:07+03:00</dcterms:created>
  <dcterms:modified xsi:type="dcterms:W3CDTF">2026-07-28T23:56:07+03:00</dcterms:modified>
</cp:coreProperties>
</file>

<file path=docProps/custom.xml><?xml version="1.0" encoding="utf-8"?>
<Properties xmlns="http://schemas.openxmlformats.org/officeDocument/2006/custom-properties" xmlns:vt="http://schemas.openxmlformats.org/officeDocument/2006/docPropsVTypes"/>
</file>