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مهدي الجرجاني
</w:t>
      </w:r>
    </w:p>
    <w:p>
      <w:pPr>
        <w:jc w:val="start"/>
        <w:bidi/>
      </w:pPr>
      <w:r>
        <w:rPr>
          <w:rFonts w:ascii="arial" w:hAnsi="arial" w:eastAsia="arial" w:cs="arial"/>
          <w:sz w:val="28"/>
          <w:szCs w:val="28"/>
          <w:b w:val="1"/>
          <w:bCs w:val="1"/>
          <w:rtl/>
        </w:rPr>
        <w:t xml:space="preserve">ابن مهدي الجرجاني
</w:t>
      </w:r>
    </w:p>
    <w:p>
      <w:pPr/>
      <w:r>
        <w:rPr/>
        <w:t xml:space="preserve">ابن مهدي الجرجاني  محمد بن يحيى بن مهدي، ابو عبد الله، الجرجاني: فقيه من أعلام الحنفية. من أهل جرجان. سكن بغداد، وكان يدرس فيها بمسجد قطيعة الربيع. وتفقه عليه ابو الحسين القدوري واحمد بن محمد الناطفي وغيرهما. له كتاب (ترجيح مذهب ابي حنيفة) و (القول المنصور في زيارة سيد القبور). </w:t>
      </w:r>
    </w:p>
    <w:p>
      <w:pPr>
        <w:jc w:val="start"/>
        <w:bidi/>
      </w:pPr>
      <w:r>
        <w:rPr>
          <w:sz w:val="24"/>
          <w:szCs w:val="24"/>
          <w:b w:val="1"/>
          <w:bCs w:val="1"/>
          <w:rtl/>
        </w:rPr>
        <w:t xml:space="preserve">
الأعلام،(دار العلم للملايين - بيروت،2002،ط 15،ج 7،ص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2026-10-07T12:51:17+03:00</dcterms:created>
  <dcterms:modified xsi:type="dcterms:W3CDTF">2026-10-07T12:51:17+03:00</dcterms:modified>
</cp:coreProperties>
</file>

<file path=docProps/custom.xml><?xml version="1.0" encoding="utf-8"?>
<Properties xmlns="http://schemas.openxmlformats.org/officeDocument/2006/custom-properties" xmlns:vt="http://schemas.openxmlformats.org/officeDocument/2006/docPropsVTypes"/>
</file>