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الطهراني
</w:t>
      </w:r>
    </w:p>
    <w:p>
      <w:pPr>
        <w:jc w:val="start"/>
        <w:bidi/>
      </w:pPr>
      <w:r>
        <w:rPr>
          <w:rFonts w:ascii="arial" w:hAnsi="arial" w:eastAsia="arial" w:cs="arial"/>
          <w:sz w:val="28"/>
          <w:szCs w:val="28"/>
          <w:b w:val="1"/>
          <w:bCs w:val="1"/>
          <w:rtl/>
        </w:rPr>
        <w:t xml:space="preserve">هادي الطهراني
</w:t>
      </w:r>
    </w:p>
    <w:p>
      <w:pPr/>
      <w:r>
        <w:rPr/>
        <w:t xml:space="preserve">هادي الطهراني محمد هادي بن محمد أمين الطهراني، نزيل النجف، فقيه إمامي. لد ونشأ بطهران وانتقل إلى أصفهان، ثم استقر في النجف إلى أن توفي. من كتبه (محجة العلماء في الأدلة العقلية - ط) و (الإتقان - خ) في أصول الفقه، و (الاستصحاب - ط) و (تعارض الأدلة - خ) و (تفسير آية النور - ط) و (ودائع النبوة) فقه، و (منظومة في الكلام) و (منظومة في النحو) .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2026-07-29T07:25:15+03:00</dcterms:created>
  <dcterms:modified xsi:type="dcterms:W3CDTF">2026-07-29T07:25:15+03:00</dcterms:modified>
</cp:coreProperties>
</file>

<file path=docProps/custom.xml><?xml version="1.0" encoding="utf-8"?>
<Properties xmlns="http://schemas.openxmlformats.org/officeDocument/2006/custom-properties" xmlns:vt="http://schemas.openxmlformats.org/officeDocument/2006/docPropsVTypes"/>
</file>