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الغمري
</w:t>
      </w:r>
    </w:p>
    <w:p>
      <w:pPr>
        <w:jc w:val="start"/>
        <w:bidi/>
      </w:pPr>
      <w:r>
        <w:rPr>
          <w:rFonts w:ascii="arial" w:hAnsi="arial" w:eastAsia="arial" w:cs="arial"/>
          <w:sz w:val="28"/>
          <w:szCs w:val="28"/>
          <w:b w:val="1"/>
          <w:bCs w:val="1"/>
          <w:rtl/>
        </w:rPr>
        <w:t xml:space="preserve">الغمري
</w:t>
      </w:r>
    </w:p>
    <w:p>
      <w:pPr/>
      <w:r>
        <w:rPr/>
        <w:t xml:space="preserve">الغمري  أحمد بن محمد بن عمر، أبو العباس، شهاب الدين الغمري الأصل المحلي الشافعي: صوفي مصري. كانت إقامته في القاهرة. وبها وفاته. بنى كثيرا من المساجد، منها جامعه المدفون فيه ويعرف به. كتب بخطه أشياء منها بعض تصانيف السخاوي. وألف ’’ السهام المارقة في أسماء الفرق الضالة والرد على الزنادقة - خ) في الرباط، و (الرسائل الغمري - خ) إحدى عشرة رسالة في الكيمياء، في خزانة الرباط (1301د) و (حل الطلسم وكشف السر المبهم - خ) في الرباط أيضا (971 د). </w:t>
      </w:r>
    </w:p>
    <w:p>
      <w:pPr>
        <w:jc w:val="start"/>
        <w:bidi/>
      </w:pPr>
      <w:r>
        <w:rPr>
          <w:sz w:val="24"/>
          <w:szCs w:val="24"/>
          <w:b w:val="1"/>
          <w:bCs w:val="1"/>
          <w:rtl/>
        </w:rPr>
        <w:t xml:space="preserve">
الأعلام،(دار العلم للملايين - بيروت،2002،ط 15،ج 1،ص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2026-09-19T19:49:20+03:00</dcterms:created>
  <dcterms:modified xsi:type="dcterms:W3CDTF">2026-09-19T19:49:20+03:00</dcterms:modified>
</cp:coreProperties>
</file>

<file path=docProps/custom.xml><?xml version="1.0" encoding="utf-8"?>
<Properties xmlns="http://schemas.openxmlformats.org/officeDocument/2006/custom-properties" xmlns:vt="http://schemas.openxmlformats.org/officeDocument/2006/docPropsVTypes"/>
</file>