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زكري
</w:t>
      </w:r>
    </w:p>
    <w:p>
      <w:pPr>
        <w:jc w:val="start"/>
        <w:bidi/>
      </w:pPr>
      <w:r>
        <w:rPr>
          <w:rFonts w:ascii="arial" w:hAnsi="arial" w:eastAsia="arial" w:cs="arial"/>
          <w:sz w:val="28"/>
          <w:szCs w:val="28"/>
          <w:b w:val="1"/>
          <w:bCs w:val="1"/>
          <w:rtl/>
        </w:rPr>
        <w:t xml:space="preserve">ابن زكري
</w:t>
      </w:r>
    </w:p>
    <w:p>
      <w:pPr/>
      <w:r>
        <w:rPr/>
        <w:t xml:space="preserve">ابن زكري  أحمد بن محمد بن زكري: فقيه أصولي بياني. من أهل تلمسان. نشأ يتيما، وتعلم الحياكة فاستؤجر للعمل بنصف دينار في الشهر، فرآه العلامة ابن زاغو، فأعجبه ذكاؤه، فسأله عن ولى أمره فقال أمي، فذهب إليها وتعهد بأن يعطيها في كل شهر نصف دينار وأن يفقه ولدها ويؤدبه، فرضيت. واستمر إلى أن نبغ واشتهر. من كتبه (مسائل القضاء والفتيا) و (بغية الطالب في شرح عقيدة ابن الحاجب) و (منظومة في علم الكلام) نيف و1500 بيت، و (شرح الورقات لإمام الحرمين) في أصول الفقه. </w:t>
      </w:r>
    </w:p>
    <w:p>
      <w:pPr>
        <w:jc w:val="start"/>
        <w:bidi/>
      </w:pPr>
      <w:r>
        <w:rPr>
          <w:sz w:val="24"/>
          <w:szCs w:val="24"/>
          <w:b w:val="1"/>
          <w:bCs w:val="1"/>
          <w:rtl/>
        </w:rPr>
        <w:t xml:space="preserve">
الأعلام،(دار العلم للملايين - بيروت،2002،ط 15،ج 1،ص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2026-09-19T20:05:10+03:00</dcterms:created>
  <dcterms:modified xsi:type="dcterms:W3CDTF">2026-09-19T20:05:10+03:00</dcterms:modified>
</cp:coreProperties>
</file>

<file path=docProps/custom.xml><?xml version="1.0" encoding="utf-8"?>
<Properties xmlns="http://schemas.openxmlformats.org/officeDocument/2006/custom-properties" xmlns:vt="http://schemas.openxmlformats.org/officeDocument/2006/docPropsVTypes"/>
</file>