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نافع
</w:t>
      </w:r>
    </w:p>
    <w:p>
      <w:pPr>
        <w:jc w:val="start"/>
        <w:bidi/>
      </w:pPr>
      <w:r>
        <w:rPr>
          <w:rFonts w:ascii="arial" w:hAnsi="arial" w:eastAsia="arial" w:cs="arial"/>
          <w:sz w:val="28"/>
          <w:szCs w:val="28"/>
          <w:b w:val="1"/>
          <w:bCs w:val="1"/>
          <w:rtl/>
        </w:rPr>
        <w:t xml:space="preserve">عبد الملك بن نافع
</w:t>
      </w:r>
    </w:p>
    <w:p>
      <w:pPr/>
      <w:r>
        <w:rPr/>
        <w:t xml:space="preserve">عبد الملك بن نافع حدثنا علي بن أحمد بن سليمان هو علان كوفي، حدثنا ابن أبي مريم، قال: قلت ليحيى بن معين أرأيت حديث عبد الملك بن نافع الذي يروي عنه إسماعيل بن أبي خالد في النبيذ قال هم يضعفونه.</w:t>
      </w:r>
    </w:p>
    <w:p/>
    <w:p>
      <w:pPr/>
      <w:r>
        <w:rPr/>
        <w:t xml:space="preserve">سمعت ابن حماد يقول: قال البخاري عبد الملك بن نافع بن أخي القعقاع بن ثور، عن ابن عمر في النبيذ لم يتابع عليه وهذا الذي قاله البخاري ويحيى بن معين حديث النبيذ، وهو حديث موقوف على بن عمر</w:t>
      </w:r>
    </w:p>
    <w:p>
      <w:pPr>
        <w:jc w:val="start"/>
        <w:bidi/>
      </w:pPr>
      <w:r>
        <w:rPr>
          <w:sz w:val="24"/>
          <w:szCs w:val="24"/>
          <w:b w:val="1"/>
          <w:bCs w:val="1"/>
          <w:rtl/>
        </w:rPr>
        <w:t xml:space="preserve">
الكامل في ضعفاء الرجال،(دار الكتب العلمية - بيروت،1997،ط 5،ج 6،ص 531)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2026-07-28T20:41:40+03:00</dcterms:created>
  <dcterms:modified xsi:type="dcterms:W3CDTF">2026-07-28T20:41:40+03:00</dcterms:modified>
</cp:coreProperties>
</file>

<file path=docProps/custom.xml><?xml version="1.0" encoding="utf-8"?>
<Properties xmlns="http://schemas.openxmlformats.org/officeDocument/2006/custom-properties" xmlns:vt="http://schemas.openxmlformats.org/officeDocument/2006/docPropsVTypes"/>
</file>