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الكتاني
</w:t>
      </w:r>
    </w:p>
    <w:p>
      <w:pPr>
        <w:jc w:val="start"/>
        <w:bidi/>
      </w:pPr>
      <w:r>
        <w:rPr>
          <w:rFonts w:ascii="arial" w:hAnsi="arial" w:eastAsia="arial" w:cs="arial"/>
          <w:sz w:val="28"/>
          <w:szCs w:val="28"/>
          <w:b w:val="1"/>
          <w:bCs w:val="1"/>
          <w:rtl/>
        </w:rPr>
        <w:t xml:space="preserve">المهدي الكتاني
</w:t>
      </w:r>
    </w:p>
    <w:p>
      <w:pPr/>
      <w:r>
        <w:rPr/>
        <w:t xml:space="preserve">المهدي الكتاني  محمد المهدى بن محمد بن عبد الكبير الكتاني: فقيه مالكى مغربي. ولد وتعلم وقرأ الحديث والتفسير، بفاس. وأخذ عن شيوخ العلم من معاصريه، في خلال رحلتين قام بهما إلى الحج وجولات أخرى. وجمع نفائس من المخطوطات. وكان متصوفا على طريقة التقيد بالاسلام الصحيح ومحاربة البدع. وشارك في الحركة الوطنية لاستقلال بلاده. وصنف كتبا ورسائل ما زالت مخطوطة، منها (كناشة) في عشرة دفاتر، و (الجوهر الثمين في تراجم أمهات المؤمنين) و (فهرسة) في إجازات العلماء له، وكتاب في (وفيات) معاصريه، و (رحلة مختصرة إلى مراكش) وتوفي بسلا. </w:t>
      </w:r>
    </w:p>
    <w:p>
      <w:pPr>
        <w:jc w:val="start"/>
        <w:bidi/>
      </w:pPr>
      <w:r>
        <w:rPr>
          <w:sz w:val="24"/>
          <w:szCs w:val="24"/>
          <w:b w:val="1"/>
          <w:bCs w:val="1"/>
          <w:rtl/>
        </w:rPr>
        <w:t xml:space="preserve">
الأعلام،(دار العلم للملايين - بيروت،2002،ط 15،ج 7،ص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2026-10-07T09:02:50+03:00</dcterms:created>
  <dcterms:modified xsi:type="dcterms:W3CDTF">2026-10-07T09:02:50+03:00</dcterms:modified>
</cp:coreProperties>
</file>

<file path=docProps/custom.xml><?xml version="1.0" encoding="utf-8"?>
<Properties xmlns="http://schemas.openxmlformats.org/officeDocument/2006/custom-properties" xmlns:vt="http://schemas.openxmlformats.org/officeDocument/2006/docPropsVTypes"/>
</file>