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الزيدي
</w:t>
      </w:r>
    </w:p>
    <w:p>
      <w:pPr>
        <w:jc w:val="start"/>
        <w:bidi/>
      </w:pPr>
      <w:r>
        <w:rPr>
          <w:rFonts w:ascii="arial" w:hAnsi="arial" w:eastAsia="arial" w:cs="arial"/>
          <w:sz w:val="28"/>
          <w:szCs w:val="28"/>
          <w:b w:val="1"/>
          <w:bCs w:val="1"/>
          <w:rtl/>
        </w:rPr>
        <w:t xml:space="preserve">المهدي الزيدي
</w:t>
      </w:r>
    </w:p>
    <w:p>
      <w:pPr/>
      <w:r>
        <w:rPr/>
        <w:t xml:space="preserve">المهدي الزيدي  محمد بن المطهر بن يحيى بن المرتضى، من سلالة الهادي إلى الحق: امام زيدي. بويع بالخلافة عند موت والده (سنة 690هـ) وافتتح مواضع منا (عدن) وكانت بينه وبين سلاطين اليمن (بني رسول) وقائع كثيرة. وملك في آخر الامرصنعاء. ودفن فيها. ووفاته في ذي مرمر. وكان فقيها واسمع العلم، له تصانيف، منها (المناج الجلي في فقه زيد بن علي) و (عقود العقيان في النسخ والمنسوخ من القرآن -خ) المجلد الاول منه، رأيته في مكتبة الامبروزيانة (B. 39, 163) و (النكتة الكافية والنغبة الشافية -خ) في الفرائض، رأيته في الفاتيكان (1020 عربي) ضمن مجموع. </w:t>
      </w:r>
    </w:p>
    <w:p>
      <w:pPr>
        <w:jc w:val="start"/>
        <w:bidi/>
      </w:pPr>
      <w:r>
        <w:rPr>
          <w:sz w:val="24"/>
          <w:szCs w:val="24"/>
          <w:b w:val="1"/>
          <w:bCs w:val="1"/>
          <w:rtl/>
        </w:rPr>
        <w:t xml:space="preserve">
الأعلام،(دار العلم للملايين - بيروت،2002،ط 15،ج 7،ص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2026-10-07T07:18:57+03:00</dcterms:created>
  <dcterms:modified xsi:type="dcterms:W3CDTF">2026-10-07T07:18:57+03:00</dcterms:modified>
</cp:coreProperties>
</file>

<file path=docProps/custom.xml><?xml version="1.0" encoding="utf-8"?>
<Properties xmlns="http://schemas.openxmlformats.org/officeDocument/2006/custom-properties" xmlns:vt="http://schemas.openxmlformats.org/officeDocument/2006/docPropsVTypes"/>
</file>