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مصباح رمضان
</w:t>
      </w:r>
    </w:p>
    <w:p>
      <w:pPr>
        <w:jc w:val="start"/>
        <w:bidi/>
      </w:pPr>
      <w:r>
        <w:rPr>
          <w:rFonts w:ascii="arial" w:hAnsi="arial" w:eastAsia="arial" w:cs="arial"/>
          <w:sz w:val="28"/>
          <w:szCs w:val="28"/>
          <w:b w:val="1"/>
          <w:bCs w:val="1"/>
          <w:rtl/>
        </w:rPr>
        <w:t xml:space="preserve">مصباح رمضان
</w:t>
      </w:r>
    </w:p>
    <w:p>
      <w:pPr/>
      <w:r>
        <w:rPr/>
        <w:t xml:space="preserve">مصباح رمضان  محمد بن مصباح رمضان البيروتي: شاعر خفيف الروح. برع في الهجاء والمجون، والنكتة فيهما. ولم يتن قواعد العربية اتقانا كافيا. ولد ونشأ في بيروت من أسرة يقال ان اصلها تركي، وولي بعض الوظائف فكان كاتب جمرك ومفتش بلدية ثم وكيل قائم مقام في (صور) ثم مديرا للجمرك في (صيدا) وطال زمنه في عمله الاخير. نشرت مجلة العرفان كثيرا من مقطوعاته واخباره، وقد طبع له (سنة 1873م) كراس صغير حوى (الموشحات المصباحية) من نظمه. ولم يجمع شعره، وهو غير قليل. وسافر ال (حيفا) في أواخر ايامه فتوفي ودفن بها. </w:t>
      </w:r>
    </w:p>
    <w:p>
      <w:pPr>
        <w:jc w:val="start"/>
        <w:bidi/>
      </w:pPr>
      <w:r>
        <w:rPr>
          <w:sz w:val="24"/>
          <w:szCs w:val="24"/>
          <w:b w:val="1"/>
          <w:bCs w:val="1"/>
          <w:rtl/>
        </w:rPr>
        <w:t xml:space="preserve">
الأعلام،(دار العلم للملايين - بيروت،2002،ط 15،ج 7،ص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2026-10-07T06:25:20+03:00</dcterms:created>
  <dcterms:modified xsi:type="dcterms:W3CDTF">2026-10-07T06:25:20+03:00</dcterms:modified>
</cp:coreProperties>
</file>

<file path=docProps/custom.xml><?xml version="1.0" encoding="utf-8"?>
<Properties xmlns="http://schemas.openxmlformats.org/officeDocument/2006/custom-properties" xmlns:vt="http://schemas.openxmlformats.org/officeDocument/2006/docPropsVTypes"/>
</file>