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أجا القونوي
</w:t>
      </w:r>
    </w:p>
    <w:p>
      <w:pPr>
        <w:jc w:val="start"/>
        <w:bidi/>
      </w:pPr>
      <w:r>
        <w:rPr>
          <w:rFonts w:ascii="arial" w:hAnsi="arial" w:eastAsia="arial" w:cs="arial"/>
          <w:sz w:val="28"/>
          <w:szCs w:val="28"/>
          <w:b w:val="1"/>
          <w:bCs w:val="1"/>
          <w:rtl/>
        </w:rPr>
        <w:t xml:space="preserve">ابن أجا القونوي
</w:t>
      </w:r>
    </w:p>
    <w:p>
      <w:pPr/>
      <w:r>
        <w:rPr/>
        <w:t xml:space="preserve">ابن أجا القونوي  محمد بن محمود بن خليل، شمس الدين القونوي، المعروف بابن أجا: فاضل. اصله من قونية ومولده ووفاته في حلب. صنف (طبقات الحنفية) في ثلاث مجلدات، وترجم فتوح الشام للواقدي نظما إلى التركية في اثنى عشر الف بيت، وولي قضاء العسكر في الدولة الشركسية. وكان مع الامير يشبك الدوادار حين مجيئه بالعساكر المصرية إلى جهات حلب لمحاربة ’’شاه سوار’’ الخارج على المصريين في عينتاب ومرعش سنة 875هـ ، وألف في ذلك (رحلة -خ) في 130 صفحة نشرت خلاصتها في مجلة المجمع العلمي العربي (المجلد الخامس). </w:t>
      </w:r>
    </w:p>
    <w:p>
      <w:pPr>
        <w:jc w:val="start"/>
        <w:bidi/>
      </w:pPr>
      <w:r>
        <w:rPr>
          <w:sz w:val="24"/>
          <w:szCs w:val="24"/>
          <w:b w:val="1"/>
          <w:bCs w:val="1"/>
          <w:rtl/>
        </w:rPr>
        <w:t xml:space="preserve">
الأعلام،(دار العلم للملايين - بيروت،2002،ط 15،ج 7،ص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2026-10-07T05:19:15+03:00</dcterms:created>
  <dcterms:modified xsi:type="dcterms:W3CDTF">2026-10-07T05:19:15+03:00</dcterms:modified>
</cp:coreProperties>
</file>

<file path=docProps/custom.xml><?xml version="1.0" encoding="utf-8"?>
<Properties xmlns="http://schemas.openxmlformats.org/officeDocument/2006/custom-properties" xmlns:vt="http://schemas.openxmlformats.org/officeDocument/2006/docPropsVTypes"/>
</file>