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هبة الله بن محمود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هبة الله بن محمود
</w:t>
      </w:r>
    </w:p>
    <w:p>
      <w:pPr/>
      <w:r>
        <w:rPr/>
        <w:t xml:space="preserve">هبة الله بن محمود ابن أبي القاسم بن أبي الفضائل بن أبي القاسم بن محمد، الشيخ الإمام الزاهد العالم الكامل الفقيه أمين الدين بن قرناص الخزاعي الحموي الشافعي.</w:t>
      </w:r>
    </w:p>
    <w:p/>
    <w:p>
      <w:pPr/>
      <w:r>
        <w:rPr/>
        <w:t xml:space="preserve">اشتغل بالفقه، وسمع جزء ابن عرفة من شيخ الشيوخ الأنصاري، وحدث بحماة وحلب ودمشق، وحج، وحدث بمنى.</w:t>
      </w:r>
    </w:p>
    <w:p/>
    <w:p>
      <w:pPr/>
      <w:r>
        <w:rPr/>
        <w:t xml:space="preserve">كان مدرسا بحماة، فترك التدريس وصحب الفقراء، وأعرض عن المناصب، وغير ملبوسه.</w:t>
      </w:r>
    </w:p>
    <w:p/>
    <w:p>
      <w:pPr/>
      <w:r>
        <w:rPr/>
        <w:t xml:space="preserve">قال شيخنا علم الدين: قرأت عليه جزء ابن عرفة.</w:t>
      </w:r>
    </w:p>
    <w:p/>
    <w:p>
      <w:pPr/>
      <w:r>
        <w:rPr/>
        <w:t xml:space="preserve">وتوفي رحمه الله تعالى: سلخ شهر ربيع الآخر سنة سبع وعشرين وسبع مئة.</w:t>
      </w:r>
    </w:p>
    <w:p/>
    <w:p>
      <w:pPr/>
      <w:r>
        <w:rPr/>
        <w:t xml:space="preserve">ومولده سنة تسع وأربعين وست مئة.</w:t>
      </w:r>
    </w:p>
    <w:p/>
    <w:p>
      <w:pPr/>
      <w:r>
        <w:rPr/>
        <w:t xml:space="preserve">وتأسف صاحب حماة كونه لم يحضر جنازته لأنه كان غائبا عن حماة، وكان قد عاده في مرضه.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5،ص 537)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2026-07-29T10:38:32+03:00</dcterms:created>
  <dcterms:modified xsi:type="dcterms:W3CDTF">2026-07-29T10:38:32+03:00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