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أوحد بن الخطير
</w:t>
      </w:r>
    </w:p>
    <w:p>
      <w:pPr>
        <w:jc w:val="start"/>
        <w:bidi/>
      </w:pPr>
      <w:r>
        <w:rPr>
          <w:rFonts w:ascii="arial" w:hAnsi="arial" w:eastAsia="arial" w:cs="arial"/>
          <w:sz w:val="28"/>
          <w:szCs w:val="28"/>
          <w:b w:val="1"/>
          <w:bCs w:val="1"/>
          <w:rtl/>
        </w:rPr>
        <w:t xml:space="preserve">محمود بن أوحد بن الخطير
</w:t>
      </w:r>
    </w:p>
    <w:p>
      <w:pPr/>
      <w:r>
        <w:rPr/>
        <w:t xml:space="preserve">محمود بن أوحد بن الخطير شرف الدين أخو الأمير بدر الدين مسعود بن الخطير الآتي ذكره - إن شاء الله تعالى - في مكانه.</w:t>
      </w:r>
    </w:p>
    <w:p/>
    <w:p>
      <w:pPr/>
      <w:r>
        <w:rPr/>
        <w:t xml:space="preserve">طلبه السلطان الملك الناصر محمد الى مصر بعد مقام أخيه الأمير بدر الدين مدة بالقاهرة، في شهر ربيع الأول سنة أربع وثلاثين وسبع مئة، وأعطاه طبلخاناه، وولاه الحجوبية بمصر تحت يد أخيه، ولما قبض على تنكز - رحمه الله تعالى - وجهز أخاه الأمير بدر الدين مسعود نائبا الى غزة، جهز الأمير شرف الدين الى دمشق حاجبا صغيرا، فأقام بدمشق على الحجبة الى أن رسم لأخيه الأمير بدر الدين مسعود بالحضور الى دمشق، فرسم للأمير شرف الدين بأن يتوجه الى صفد، فتوجه إليها، كل ذلك في سنة إحدى وأربعين وسبع مئة.</w:t>
      </w:r>
    </w:p>
    <w:p/>
    <w:p>
      <w:pPr/>
      <w:r>
        <w:rPr/>
        <w:t xml:space="preserve">ولما مات السلطان وجرى ما جرى، وولي النيابة بمصر الأمير سيف الدين قوصون، طلب الأمير بدر الدين مسعود الى مصر، وطلب أخاه أيضا، فتوجها إليه، وعملا الحجوبية بمصر ثانيا. ثم إن الأمير بدر الدين خرج بعد قوصون الى الشام، وأقام الأمير شرف الدين محمود على الحجبة بمصر الى أن توفي - رحمه الله تعالى - في شهر ذي القعدة سنة تسع وأربعين وسبع مئة في طاعون مصر.</w:t>
      </w:r>
    </w:p>
    <w:p/>
    <w:p>
      <w:pPr/>
      <w:r>
        <w:rPr/>
        <w:t xml:space="preserve">ومات له ابنان وبنت وجماعة من أولاد أولاده وأولاد مماليكه في الطاعون.</w:t>
      </w:r>
    </w:p>
    <w:p/>
    <w:p>
      <w:pPr/>
      <w:r>
        <w:rPr/>
        <w:t xml:space="preserve">وكان قد ولي شد الأوقاف بدمشق أيام تنكز في سابع صفر سنة ثلاثين وسبع مئة عوضا عن نجم الدين بن الزيبق، ولما توجه الى مصر في التاريخ المتقدم، تولى شد الأوقاف عوضه ناصر الدين محمد بن بكتاش.</w:t>
      </w:r>
    </w:p>
    <w:p>
      <w:pPr>
        <w:jc w:val="start"/>
        <w:bidi/>
      </w:pPr>
      <w:r>
        <w:rPr>
          <w:sz w:val="24"/>
          <w:szCs w:val="24"/>
          <w:b w:val="1"/>
          <w:bCs w:val="1"/>
          <w:rtl/>
        </w:rPr>
        <w:t xml:space="preserve">
أعيان العصر وأعوان النصر،(دار الفكر المعاصر، بيروت - لبنان / دار الفكر، دمشق - سوريا،1998،ط 1،ج 5،ص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أوحد بن خطير شرف الدين
</w:t>
      </w:r>
    </w:p>
    <w:p>
      <w:pPr/>
      <w:r>
        <w:rPr/>
        <w:t xml:space="preserve">محمود بن أوحد بن خطير شرف الدين محمود بن أوحد بن خطير شرف الدين أخو مسعود كان بدمشق ثم طلب إلى مصر فولي الحجوبية بمصر ثم بدمشق ثم بمصر إلى أن مات في ذي القعدة سنة 749 بالطاعون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2026-07-29T12:10:23+03:00</dcterms:created>
  <dcterms:modified xsi:type="dcterms:W3CDTF">2026-07-29T12:10:23+03:00</dcterms:modified>
</cp:coreProperties>
</file>

<file path=docProps/custom.xml><?xml version="1.0" encoding="utf-8"?>
<Properties xmlns="http://schemas.openxmlformats.org/officeDocument/2006/custom-properties" xmlns:vt="http://schemas.openxmlformats.org/officeDocument/2006/docPropsVTypes"/>
</file>